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Informācijas sistēma nodrošina pārbaudījumu rezultātu apstrīdēšanas iesniegumu (turpmāk - apstrīdēšanas iesneigums)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35.</w:t>
            </w:r>
            <w:r w:rsidR="00000000" w:rsidRPr="00000000" w:rsidDel="00000000">
              <w:rPr>
                <w:vertAlign w:val="superscript"/>
                <w:rtl w:val="0"/>
              </w:rPr>
              <w:t xml:space="preserve">1</w:t>
            </w:r>
            <w:r w:rsidR="00000000" w:rsidRPr="00000000" w:rsidDel="00000000">
              <w:rPr>
                <w:rtl w:val="0"/>
              </w:rPr>
              <w:t xml:space="preserve"> panta otrā daļa noteic, ka valsts pārbaudījumu informācijas sistēmā ierakstāmas ziņas par izglītības iestādēm, kurās kārto valsts pārbaudījumus, par personām, kurām jākārto valsts pārbaudījumi, un par personām, kuras nodrošinājušas pārbaudes procesu, par valsts pārbaudījumu uzdevumiem un vērtējumiem, kā arī ziņas par dokumentiem, kas apliecina valsts pārbaudījumu rezultātus. Tādējādi kā izriet no iepriekš minētās normas, Izglītības likums neparedz valsts pārbaudījumu informācijas sistēmā nodrošināt pārbaudījumu rezultātu apstrīdēšanas iesniegumu apstrādi. Ievērojot minēto, lūdzam svītrot tās normas no noteikumu projekta, kuras neatbilst deleģējumam, vai arī sniegt atbilstošu un pamatotu skaidrojumu projekta anotācijā par šādu normu nepieciešamību un to atbilstību Izglītības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31.05.2024.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31.05.2024.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