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par transporta enerģijas salīdzināmām cenām un to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svītroti nosacījumi par speciālās atļaujas (licences) izvietošanu komercdarbībai ar akcīzes precēm (naftas produktiem un/vai dabasgāzi)  vietā un uzrādīšanu patērētājam, lūdzam attiecīgi precizēt anotāciju, svītrojot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Rudzīte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būs nepieciešama apropriācijas pārdale uz Ekonomikas ministriju, jo izdevumi tiks plānoti no Klimata un enerģētikas ministrijas budžeta. Vēršam uzmanību, ka apropriācijas izmaiņas starp budžeta resoriem var tikt nodrošinātas kā transferta pārskaitījums, ja tā rezultātā nemainās izlietojuma mērķis, attiecīgi lūdzam izvērtēt un nepieciešamības gadījumā precizēt minēto informāciju. Turklāt lūdzam precizēt atsauci uz likuma “Par piesārņojumu” pantu, ievērojot, ka norādīto emisija kvotu izsolīšanas ieņēmumu izmantošanas mērķi nosaka minētā likuma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3.punkts. Vienlaikus šobrīd sadaļas 6.punktā sniegto informāciju lūdzam pārcelt uz 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25.02.2026.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25.02.2026.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