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noteikumu projekta 4.punktā veiktās izmaiņas, proti, kā konkrēti Komisijas 2023. gada 13. decembra Regulas (ES) 2023/2831 par Līguma par ES darbību 107. un 108. panta piemērošanu de minimis atbalstam (ES Oficiālais Vēstnesis, 2023. gada 15. decembris, Nr. L 2023/2831) 6. panta 3. un 7. punkta prasības tiek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17.10.2024.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17.10.2024.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Atzinumi_24-TA-2095.docx</dc:title>
</cp:coreProperties>
</file>

<file path=docProps/custom.xml><?xml version="1.0" encoding="utf-8"?>
<Properties xmlns="http://schemas.openxmlformats.org/officeDocument/2006/custom-properties" xmlns:vt="http://schemas.openxmlformats.org/officeDocument/2006/docPropsVTypes"/>
</file>