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 īsteno 3.1.2.r. reformu “Sociālo un nodarbinātības pakalpojumu pieejamība minimālo ienākumu reformas atbalstam”, kuras mērķis ir nodrošināt augstam sociālās atstumtības riskam pakļautajiem iedzīvotājiem, kuriem ir ierobežoti finanšu resursi, pieeju būtiski nepieciešamajiem sociālajiem un nodarbinātības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 punktā regulēt attiecīgās investīcijas, nevis reformas mērķi. Norādām, ka reformas īstenošana kopumā nav noteikumu projekta regulēšanas priekšmets, turklāt tas, ka ar investīciju daļēji īsteno reformu, skaidri izriet arī no noteikumu projekta 1.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7.1.1. tehniskās specifikācijas un šo noteikumu </w:t>
            </w:r>
            <w:r w:rsidR="00000000" w:rsidRPr="00000000" w:rsidDel="00000000">
              <w:rPr>
                <w:rtl w:val="0"/>
              </w:rPr>
              <w:t xml:space="preserve">6.1. </w:t>
            </w:r>
            <w:r w:rsidR="00000000" w:rsidRPr="00000000" w:rsidDel="00000000">
              <w:rPr>
                <w:rtl w:val="0"/>
              </w:rPr>
              <w:t xml:space="preserve">apakšpunktā</w:t>
            </w:r>
            <w:r w:rsidR="00000000" w:rsidRPr="00000000" w:rsidDel="00000000">
              <w:rPr>
                <w:rtl w:val="0"/>
              </w:rPr>
              <w:t xml:space="preserve"> minētā līguma kopija un izraksts no attiecīgajām dokumentu 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7.1.1. apakšpunktu, skaidri norādot uz iesniedzamo informāciju un dokumentiem. Norādām, ka no noteikumu projekta neizriet, kas ir domāts ar attiecīgajām dokumentu daļām un tehniskajām specifikācijām.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7.2.2. izveidotās nacionālās darba grupas protokola kopija un izraksts no tā attiecīgajām daļām, kas apliecina tehniskās specifikācijas par prognozēšanas rīka izstrādi apstiprināšanu un tās gatavību iesniegšanai finansējuma saņēmēja izveidotai iepirkuma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dokumenta atvasinājumus izstrādā noraksta, izraksta vai kopijas veidā. Tādēļ lūdzam izvērtēt, vai iesniedzama protokola kopija vai izraksts no tā, atbilstoši precizējot noteikumu projekta 7.2.2. un 7.3.2.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Īstenojot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sadarbību, finansējuma saņēmējs ar sadarbības partneri noslēdz vienošanos un iekļauj tajā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aģentūra ir Labklājības ministrijas padotības iestāde, lūdzam noteikumu projekta 13. punktā paredzēt, ka vienošanās vietā Labklājības ministrija izdod attiecīgu rīkojumu, nodrošinot Valsts pārvaldes iekārtas likumam atbilstošu padotības īstenošanas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piesaista pakalpojumu sniedzējus un piegādātājus atbilstoši Publisko iepirkumu likumam, īstenojot atklātas, pārredzamas, nediskriminējošas un konkurenci nodrošinošas iepirkuma procedūras un, ja vien tas ir iespējams un attiecināms, ņemot vērā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atskaites punktu specifiku, veic sociāli atbildīgu publisko iepirkumu;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21.5. apakšpunktā svītrot vārdus "īstenojot atklātas, pārredzamas, nediskriminējošas un konkurenci nodrošinošas iepirkuma procedūras" kā 21.4. apakšpunktā ietvertā regulējuma dublējošus.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nodrošina atsevišķu grāmatvedības uzskaiti par projekta izdevumiem saskaņā ar normatīvo aktu prasībām un vispārpieņemtiem grāmatvedības kārtošanas principiem, piemēram, izveidojot atbilstošu uzskaites kodu sistēmu par visiem projekta īstenošanai veiktajiem darījumiem, kā arī pamatojošajā dokumentācijā norādot projekta identifikatoru;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21.8. apakšpunktā svītrot vārdus "un vispārpieņemtiem grāmatvedības kārtošanas principiem", tā vietā atsaucoties uz normatīvo aktu jomu un tādējādi ievērojot juridiskās tehnikas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nodrošina, ka projekta ietvaros izstrādājamais prognozēšanas rīks tiks saskaņots ar Vides aizsardzības un reģionālās attīstības ministriju normatīvajos aktos par valsts informācijas sistēmu attīstības projektu uzraudzību noteiktajā kārtībā, lai nodrošinātu veidojamā risinājuma atbilstību vispārējām tehniskām prasībām un sekmētu valsts pārvaldes rīcībā esošo datu un tehnoloģisko risinājumu koplietošanu un atkārtotu izmantošanu;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22.4. apakšpunktā svītrot vārdus "lai nodrošinātu veidojamā risinājuma atbilstību vispārējām tehniskām prasībām un sekmētu valsts pārvaldes rīcībā esošo datu un tehnoloģisko risinājumu koplietošanu un atkārtotu izmantošanu", nedublējot normatīvajos aktos par valsts informācijas sistēmu attīstības projektu uzraudzību noteikto. Līdzīgi lūdzam svītrot noteikumu projekta 22.5. apakšpunktā vārdus "lai novērstu gadījumus, kad tiek kropļota konkurence, veicot publiskus ieguldījumus kāda konkrēta komersanta īpašumā". Nepieciešamības gadījumā lūdzam attiecīgu informāciju ietvert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nozares ministrija iesniegto projekta grozījumu lietderību, pamatotību un nepieciešamību investīcijas mērķa sasniegšanai pārbauda 10 darbdienu laikā pēc projekta grozījumu priekšlikuma saņemšanas, bet attiecībā uz iesniegtajiem grozījumiem plānoto progresa pārskata iesniegšanas grafikā vai plānoto iepirkumu plānā tos pieņem zināšanai vai piecu darbdienu laikā no to saņemšanas dienas informē finansējuma saņēmēju par nepieciešamajiem precizējumiem (tai skaitā norādot tā atkārtotas iesniegšanas kārtību un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23.2. un 23.3. apakšpunktu nepieciešams izvērtēt un precizēt, jo no šīm normām neizriet, vai projekta, plānoto progresa pārskata iesniegšanas grafika, plānoto iepirkumu plāna pārbaudei tiek paredzēts vienāds termiņš, kā arī no noteikumu projekta un tā anotācijas neizriet tas, kādēļ pārbaudei nepieciešamas 10 darbdienas, ja finansējuma saņēmēju par nepieciešamajiem precizējumiem jāinformē piecu darbdienu laikā. Papildus nepieciešams novērst dublēšanos abos minētajos apakšpunktos, jo nav skaidrs, kādos gadījumos grozījumi ir noraidāmi, bet kādos - finansējuma saņēmējs informējams par nepieciešamajiem precizējumiem.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īstenošanas uzraudzību nodrošina nozares ministrija sadarbībā ar normatīvajos aktos par Atveseļošanas fonda plāna īstenošanas un uzraudzības kārtību minētajām institūcijām un atbilstoši tajos noteiktai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24., 25. un 28. punktu, jo attiecīgajām normām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papildināt noteikumu projekta anotācijas 5.4. sadaļas 1. tabulu ar informāciju par Eiropas Parlamenta un Padomes 2016. gada 27. aprīļa Regulas (ES) Nr. 2016/679 par fizisku personu aizsardzību attiecībā uz personas datu apstrādi un šādu datu brīvu apriti un ar ko atceļ Direktīvu 95/46/EK prasību ieviešanu noteikumu projekta 21.12.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papildināt noteikumu projekta anotācijas 5. sadaļu ar informāciju par Eiropas Komisijas un Latvijas Republikas Atveseļošanas un noturības mehānisma finansēšanas nolīguma 10. pantā ietverto saistību izpildi, šo saistību būtību un konkrētus veicamos pasākumus vai uzdevumus, kas nepieciešami šo saistību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(turpmāk – investīcija) īstenošanas un uzraudzības kārtību,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 punkta ievaddaļu, norādot uz 3.1.2.</w:t>
            </w:r>
            <w:r w:rsidR="00000000" w:rsidRPr="00000000" w:rsidDel="00000000">
              <w:rPr>
                <w:u w:val="single"/>
                <w:rtl w:val="0"/>
              </w:rPr>
              <w:t xml:space="preserve">r</w:t>
            </w:r>
            <w:r w:rsidR="00000000" w:rsidRPr="00000000" w:rsidDel="00000000">
              <w:rPr>
                <w:rtl w:val="0"/>
              </w:rPr>
              <w:t xml:space="preserve"> reformu.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mērķi, sasniedzamos atskaites punktus un mērķa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1.1. apakšpunktā svītrot vārdus "sasniedzamos atskaites punktus un mērķa grupu", ņemot vērā, ka minētais jau izriet no norādes uz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Finansējuma saņēmējs ir Labklājības ministrija (turpmāk – finansējuma saņēmējs), kas īsteno projektu, balstoties uz nozares ministrijas izdotu pārvaldes lēmumu (rīkojumu).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projektā izvairīties no sinonīmu lietošanas un tostarp, bet ne tikai, noteikumu projekta 11. punktā svītrot iekavās lietoto vārdu "rīkojumu" ("pārvaldes lēmumu </w:t>
            </w:r>
            <w:r w:rsidR="00000000" w:rsidRPr="00000000" w:rsidDel="00000000">
              <w:rPr>
                <w:u w:val="single"/>
                <w:rtl w:val="0"/>
              </w:rPr>
              <w:t xml:space="preserve">(rīkojumu)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13.2.2. konsultāciju un prognožu veikšanai nepieciešamo statistikas, finanšu un citu datu, kas ir aģentūras rīcībā un kompetencē,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13.2.2. apakšpunktu, svītrojot vārdus "un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sasniegto atskaites punktu un to pamatojošās dokumentācijas atbilstības pārbaudi, tai skaitā ietverot datu ticamības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25.3.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sasniegto atskaites punktu un to pamatojošās dokumentācijas atbilstības pārbaudi, tai skaitā datu ticamības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veicot personas datu apstrādi normatīvajos aktos par Eiropas Savienības Atveseļošanas un noturības mehānisma plāna īstenošanas un uzraudzības kārtību noteikto funkciju izpildei, nodrošina Eiropas Parlamenta un Padomes 2016. gada 27. aprīļa Regulas (ES) Nr. 2016/679 par fizisku personu aizsardzību attiecībā uz personas datu apstrādi un šādu datu brīvu apriti un ar ko atceļ Direktīvu 95/46/EK ievērošanu, tai skaitā pilda datu pārziņa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ietverts tiesiskais regulējums, kas skar fizisko personu datu apstrādi, lūdzam noteikumu projektu saskaņot arī ar Datu valsts inspekciju. Vēršam uzmanību, ka atbilstoši Ministru kabineta 2021. gada 7. septembra noteikumu Nr. 606 “Ministru kabineta kārtības rullis” 52.2.6.1 apakšpunktam atzinumu (projekta saskaņojumu) nepieciešams saņemt no Datu valsts inspekcijas, ja projekts skar personas datu apstrādes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07.02.2024.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07.02.2024.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