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Ļatvijas Brīvo arodbiedrību savienība, tāpat kā Latvijas Veselības un sociālās aprūpes darbinieku arodbiedrība (LVSADA), kopumā atbalsta plānotās izmaiņas bērnu vakcinācijas kalendārā, kuru mērķis ir savlaicīgāk nodrošināt bērnu aizsardzību pret masalām, masaliņām, epidēmisko parotītu un citām vakcīnregulējamām infekcijas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piekrīt, ka, ņemot vērā epidemioloģisko situāciju Eiropā un Latvijā, kā arī Pasaules Veselības organizācijas un Eiropas Slimību profilakses un kontroles centra rekomendācijas, ir pamatoti pārcelt masalu, masaliņu un epidēmiskā parotīta kombinētās vakcīnas otro devu no septiņu gadu uz četru gadu vecumu, kā arī noteikt MMR un vējbaku vakcīnas pirmās devas ievadi 12 mēnešu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tiesību akta projekta anotācijā vai normatīvajā regulējumā skaidri norādīt, ka ārstniecības persona, ievērojot vakcīnu lietošanas instrukcijas, bērna veselības stāvokli, medicīniskās indikācijas un nepieciešamos intervālus starp vakcīnu devām, ir tiesīga konkrētajā vecumā paredzēto vakcīnu ievadi plānot vairākās vizītēs. Šāds risinājums vienlaikus nodrošinātu epidemioloģisko mērķu sasniegšanu un saglabātu ārstniecības personas profesionālo atbildību un tiesības izvēlēties konkrētajam pacientam medicīniski atbilstošāko vakcinācijas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LVSADA aicina atkārtoti izvērtēt Latvijas Ģimenes ārstu asociācijas un Latvijas Lauku ģimenes ārstu asociācijas priekšlikumu saglabāt 12–15 mēnešu intervālu pārējām šajā vecumposmā paredzētajām vakcīnām, vienlaikus nosakot MMR un vējbaku vakcīnas pirmās devas ievadi 12 mēnešu vecumā. Šāds kompromisa risinājums ļautu sasniegt galveno epidemioloģisko mērķi, proti, nodrošināt agrāku bērnu aizsardzību pret masalām, vienlaikus mazinot ģimenes ārstu un vakcināciju veicošo māsu organizatorisko slodzi un saglabājot iespēju individuāli plānot bērna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LVSADA vērš Veselības ministrijas uzmanību, ka ārpus šā tiesību akta projekta regulējuma paliek būtiski jautājumi par ārstniecības un sociālās aprūpes darbinieku imunizācijas sistēmas pilnveidošanu. Aicinām Veselības ministrijai tuvākajā laikā    atsevišķi izvērtēt Vakcinācijas noteikumu regulējuma pilnveidošanu, paredzot profesionālajam inficēšanās riskam pakļautajiem ārstniecības un sociālās aprūpes darbiniekiem valsts  apmaksātu imunizācijas statusa izvērtēšanu, tostarp kvantitatīvu anti-HBs antivielu noteikšanu pēc pabeigta vakcinācijas kursa pret B hepatītu, kā arī citus profesionālajam riskam atbilstošus laboratoriskās pārbaudes, vakcinācijas un revakcinācijas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vakcinācijas politika ir būtiska sabiedrības veselības un epidemioloģiskās drošības sastāvdaļa. Tās īstenošanai jābalstās ne tikai epidemioloģiskos apsvērumos, bet arī </w:t>
            </w:r>
            <w:r w:rsidR="00000000" w:rsidRPr="00000000" w:rsidDel="00000000">
              <w:rPr>
                <w:u w:val="single"/>
                <w:rtl w:val="0"/>
              </w:rPr>
              <w:t xml:space="preserve">ilgtspējīgā darba organizācijā, pietiekamā finansējumā, cilvēkresursu nodrošinājumā un ārstniecības personu profesionālās atbildības respektēšanā.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17.07.2026.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17.07.2026.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Atzinumi_26-TA-831.docx</dc:title>
</cp:coreProperties>
</file>

<file path=docProps/custom.xml><?xml version="1.0" encoding="utf-8"?>
<Properties xmlns="http://schemas.openxmlformats.org/officeDocument/2006/custom-properties" xmlns:vt="http://schemas.openxmlformats.org/officeDocument/2006/docPropsVTypes"/>
</file>