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Tabakas izstrādājumu, tabakas aizstājējproduktu, augu smēķēšanas produktu, elektronisko smēķēšanas ierīču un to šķidrumu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8.</w:t>
            </w:r>
            <w:r w:rsidR="00000000" w:rsidRPr="00000000" w:rsidDel="00000000">
              <w:rPr>
                <w:b w:val="1"/>
                <w:vertAlign w:val="superscript"/>
                <w:rtl w:val="0"/>
              </w:rPr>
              <w:t xml:space="preserve">1</w:t>
            </w:r>
            <w:r w:rsidR="00000000" w:rsidRPr="00000000" w:rsidDel="00000000">
              <w:rPr>
                <w:b w:val="1"/>
                <w:rtl w:val="0"/>
              </w:rPr>
              <w:t xml:space="preserve"> pants. Iekārtu aprite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Visas iekārtas faktiskais valdītājs (fiziska vai juridiska persona) reģistrē tabakas izstrādājumu un augu smēķēšanas produktu ražošanas iekārtu reģistrā (turpmāk – iekārtu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Iekārtas faktiskais valdītājs iekārtu reģistrā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pirmreizējo reģistrāciju,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iekārta uz iekārtu reģistra izveides brīdi atrodas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iekārta tiek ievesta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iekārta tiek izgatavota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izmaiņu reģistrāciju, ja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iekārtas identificējošā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iekārtas atrašanās vietas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personas, kas reģistrējusi iekārtu, identificējošā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izslēgšanu no iekārtu reģistra, ja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izved no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iznīcina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cits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Pārvadātājs (fiziska vai juridiska persona) paziņo iekārtu reģistrā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Latvijā aizliegts saņemt, uzglabāt, izmantot un pārvietot iekārtas, kuras nav reģistrētas iekārtu reģistrā vai par kurām nav paziņots iekārtu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iekārtu reģistram un iestādes, kurām piešķiramas piekļuves tiesības iekārtu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iekārtu pirmreizējai reģistrācijai, izmaiņu reģistrācijai un izslēgšanai no iekārtu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pārvadātājs iekārtu reģistrā paziņo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likuma nosacījumi par reģistrāciju iekārtu reģistrā neattiecas uz tām iekārtām, kas nav reģistrētas iekārtu reģistrā un kuras ir lietiskais pierādījums vai arestētā manta kriminālprocesā, izņemtā manta administratīvo pārkāpumu lietā vai valstij piekritīgā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Atbildīgā iestāde paziņo iekārtu reģistra turētājam, ja iekārtu reģistrā reģistrēta iekārta kļūst par  lietisko pierādījumu vai arestēto mantu kriminālprocesā, izņemto mantu administratīvā pārkāpuma lietā vai valstij piekritīgo mantu, kā arī par izmaiņām iekārtas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Konfiscētās iekārtas iznīcina."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iespēju svītrot panta otrās daļas trešā punkta c apakšpunktu (cits iemesls), jo šāda vispārīga nosacījuma iekļaušana likumā ir neskaidrs un pārāk plaši interpretējams. Pamatojumu uzskaitījumu jāveido pēc iespējas izsmeļošu, lai reģistra informācijas apkopošanas gadījumā varētu iegūt noderīgu analizējamo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8.</w:t>
            </w:r>
            <w:r w:rsidR="00000000" w:rsidRPr="00000000" w:rsidDel="00000000">
              <w:rPr>
                <w:b w:val="1"/>
                <w:vertAlign w:val="superscript"/>
                <w:rtl w:val="0"/>
              </w:rPr>
              <w:t xml:space="preserve">1</w:t>
            </w:r>
            <w:r w:rsidR="00000000" w:rsidRPr="00000000" w:rsidDel="00000000">
              <w:rPr>
                <w:b w:val="1"/>
                <w:rtl w:val="0"/>
              </w:rPr>
              <w:t xml:space="preserve"> pants. Iekārtu aprite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Visas iekārtas faktiskais valdītājs (fiziska vai juridiska persona) reģistrē tabakas izstrādājumu un augu smēķēšanas produktu ražošanas iekārtu reģistrā (turpmāk – iekārtu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Iekārtas faktiskais valdītājs iekārtu reģistrā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pirmreizējo reģistrāciju,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iekārta uz iekārtu reģistra izveides brīdi atrodas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iekārta tiek ievesta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iekārta tiek izgatavota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izmaiņu reģistrāciju, ja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iekārtas identificējošā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iekārtas atrašanās vietas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personas, kas reģistrējusi iekārtu, identificējošā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izslēgšanu no iekārtu reģistra, ja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izved no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iznīcina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cits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Pārvadātājs (fiziska vai juridiska persona) paziņo iekārtu reģistrā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Latvijā aizliegts saņemt, uzglabāt, izmantot un pārvietot iekārtas, kuras nav reģistrētas iekārtu reģistrā vai par kurām nav paziņots iekārtu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iekārtu reģistram un iestādes, kurām piešķiramas piekļuves tiesības iekārtu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iekārtu pirmreizējai reģistrācijai, izmaiņu reģistrācijai un izslēgšanai no iekārtu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pārvadātājs iekārtu reģistrā paziņo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likuma nosacījumi par reģistrāciju iekārtu reģistrā neattiecas uz tām iekārtām, kas nav reģistrētas iekārtu reģistrā un kuras ir lietiskais pierādījums vai arestētā manta kriminālprocesā, izņemtā manta administratīvo pārkāpumu lietā vai valstij piekritīgā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Atbildīgā iestāde paziņo iekārtu reģistra turētājam, ja iekārtu reģistrā reģistrēta iekārta kļūst par  lietisko pierādījumu vai arestēto mantu kriminālprocesā, izņemto mantu administratīvā pārkāpuma lietā vai valstij piekritīgo mantu, kā arī par izmaiņām iekārtas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Konfiscētās iekārtas iznīcina."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iespēju precizēt panta otrās daļas pirmā punkta b apakšpunktu, svītrojot vārdu "tiek", vai izsakot to šādā redakcijā: "iekārta ievesta izmantošanai Latvijā". Pašreizējā panta redakcija gramatiski liek secināt, ka panta otrās daļas pirmā punkta b apakšpunktā paredzētā iekārtas pirmreizējā reģistrācija ir veicama vienlaikus ar panta trtešajā daļā paredzēto paziņošanu reģistram par iekārtas ievešanu Latvijā. Līdz ar to normas būtu precizējamas, lai likuma piemērošanā izvairītos no neskaidrībām.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8.</w:t>
            </w:r>
            <w:r w:rsidR="00000000" w:rsidRPr="00000000" w:rsidDel="00000000">
              <w:rPr>
                <w:b w:val="1"/>
                <w:vertAlign w:val="superscript"/>
                <w:rtl w:val="0"/>
              </w:rPr>
              <w:t xml:space="preserve">1</w:t>
            </w:r>
            <w:r w:rsidR="00000000" w:rsidRPr="00000000" w:rsidDel="00000000">
              <w:rPr>
                <w:b w:val="1"/>
                <w:rtl w:val="0"/>
              </w:rPr>
              <w:t xml:space="preserve"> pants. Iekārtu aprite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Visas iekārtas faktiskais valdītājs (fiziska vai juridiska persona) reģistrē tabakas izstrādājumu un augu smēķēšanas produktu ražošanas iekārtu reģistrā (turpmāk – iekārtu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Iekārtas faktiskais valdītājs iekārtu reģistrā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pirmreizējo reģistrāciju,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iekārta uz iekārtu reģistra izveides brīdi atrodas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iekārta tiek ievesta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iekārta tiek izgatavota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izmaiņu reģistrāciju, ja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iekārtas identificējošā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iekārtas atrašanās vietas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personas, kas reģistrējusi iekārtu, identificējošā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izslēgšanu no iekārtu reģistra, ja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izved no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iznīcina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cits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Pārvadātājs (fiziska vai juridiska persona) paziņo iekārtu reģistrā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Latvijā aizliegts saņemt, uzglabāt, izmantot un pārvietot iekārtas, kuras nav reģistrētas iekārtu reģistrā vai par kurām nav paziņots iekārtu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iekārtu reģistram un iestādes, kurām piešķiramas piekļuves tiesības iekārtu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iekārtu pirmreizējai reģistrācijai, izmaiņu reģistrācijai un izslēgšanai no iekārtu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pārvadātājs iekārtu reģistrā paziņo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likuma nosacījumi par reģistrāciju iekārtu reģistrā neattiecas uz tām iekārtām, kas nav reģistrētas iekārtu reģistrā un kuras ir lietiskais pierādījums vai arestētā manta kriminālprocesā, izņemtā manta administratīvo pārkāpumu lietā vai valstij piekritīgā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Atbildīgā iestāde paziņo iekārtu reģistra turētājam, ja iekārtu reģistrā reģistrēta iekārta kļūst par  lietisko pierādījumu vai arestēto mantu kriminālprocesā, izņemto mantu administratīvā pārkāpuma lietā vai valstij piekritīgo mantu, kā arī par izmaiņām iekārtas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Konfiscētās iekārtas iznīcina."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panta ceturtajā daļā paredzēto aizliegumu uzskaitījumu ar vārdu "izgatavot", ņemot vērā, ka šāds reģistrācijas pienākums ir ietverts panta otrās daļas pirmā punkta c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"(16) Par iekārtu ievešanu vai pārvietošanu caur Latviju, nepaziņojot iekārtu reģistrā, vai par tādu iekārtu saņemšanu,  uzglabāšanu, pārvietošanu un izmantošanu, kuras nav reģistrētas iekārtu reģistrā, piemēro naudas sodu fiziskajai personai no piecdesmit sešām līdz simt četrdesmit naudas soda vienībām, bet juridiskajai personai — no piecdesmit sešām līdz tūkstoš četrsimt divdesmit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ņemts vērā priekšlikums par 8.</w:t>
            </w:r>
            <w:r w:rsidR="00000000" w:rsidRPr="00000000" w:rsidDel="00000000">
              <w:rPr>
                <w:vertAlign w:val="superscript"/>
                <w:rtl w:val="0"/>
              </w:rPr>
              <w:t xml:space="preserve">1</w:t>
            </w:r>
            <w:r w:rsidR="00000000" w:rsidRPr="00000000" w:rsidDel="00000000">
              <w:rPr>
                <w:rtl w:val="0"/>
              </w:rPr>
              <w:t xml:space="preserve"> panta ceturtās daļas papildināšana ar aizliegumu nereģistrētu iekārtu izgatavošanai, attiecīgi papildināt ar vārdu "izgatavošanu" 14. panta 16.daļas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12.12.2025.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12.12.2025.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Atzinumi_23-TA-3125.docx</dc:title>
</cp:coreProperties>
</file>

<file path=docProps/custom.xml><?xml version="1.0" encoding="utf-8"?>
<Properties xmlns="http://schemas.openxmlformats.org/officeDocument/2006/custom-properties" xmlns:vt="http://schemas.openxmlformats.org/officeDocument/2006/docPropsVTypes"/>
</file>