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24-TA-415: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īpaši aizsargājamām dabas teritorijām"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(Likuma "Par īpaši aizsargājamām dabas teritorijām" pielikums. Latvijas Natura 2000 - Eiropas nozīmes aizsargājamo dabas teritoriju saraksts.)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jaunu 13</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 pants. Aizsargājamo koku un akmeņu izveidošanas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Aizsargājamie koki un akmeņi iegūst dabas pieminekļa statusu, sasniedzot  Ministru kabineta noteiktos parametrus.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11. – 13. pantā noteikto kārtību nepiemēro attiecībā uz aizsargājamiem kokiem un akmeņiem.”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skaidrot nepieciešamību un mērķi projekta 2. pantā ietvertajam regulējumam, ņemot vērā, ka tas, ka aizsargājamie koki iegūst dabas pieminekļa statusu, sasniedzot  Ministru kabineta noteiktos parametrus, faktiski izriet arī no Augstākās tiesas Senāta 2020. gada 10. jūlija spriedumā lietā Nr. SKA-507/2020 sniegtās attiecīgo likuma "Par īpaši aizsargājamām dabas teritorijām" normu interpretācijas. Proti, projekta anotācijā nepieciešams pamatot, vai šāds regulējums patiešām ir nepieciešams un kāds ir tā mērķis (tiesiskā noteiktība vai citi apsvērumi).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jaunu 13</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13</w:t>
            </w:r>
            <w:r w:rsidR="00000000" w:rsidRPr="00000000" w:rsidDel="00000000">
              <w:rPr>
                <w:b w:val="1"/>
                <w:vertAlign w:val="superscript"/>
                <w:rtl w:val="0"/>
              </w:rPr>
              <w:t xml:space="preserve">1</w:t>
            </w:r>
            <w:r w:rsidR="00000000" w:rsidRPr="00000000" w:rsidDel="00000000">
              <w:rPr>
                <w:b w:val="1"/>
                <w:rtl w:val="0"/>
              </w:rPr>
              <w:t xml:space="preserve">. pants. Aizsargājamo koku un akmeņu izveidošanas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Aizsargājamie koki un akmeņi iegūst dabas pieminekļa statusu, sasniedzot  Ministru kabineta noteiktos parametrus.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likuma 11. – 13. pantā noteikto kārtību nepiemēro attiecībā uz aizsargājamiem kokiem un akmeņiem.”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vai projekta 2. pantā ietverts pilnvarojums Ministru kabineta noteikumu izdošanai vai ar to saprotama atsauce uz normatīvajiem aktiem, kuru izdošanai pilnvarojums ietverts citās likuma "Par īpaši aizsargājamām dabas teritorijām"  vienībās. Attiecīgā gadījumā lūdzam pilnvarojumu formulēt atbilstoši Ministru kabineta 2009. gada 3. februāra noteikumu Nr. 108 "Normatīvo aktu projektu sagatavošanas noteikumi" 47.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24</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netiek izsniegtas aizsargājamo teritoriju aizsardzību un izmantošanu regulējošos normatīvajos aktos noteiktās atļaujas, ja persona izvairās no šajā likumā noteiktā naudas soda izpildes, kā arī ja nav veikti sanācijas pasākumi vai nav atlīdzināti zaudējumi par aizsargājamai teritorijai nodarīto kaitējumu vides aizsardzības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ietverams skaidrojums par grozījumiem likuma "Par īpaši aizsargājamām dabas teritorijām" 24.</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apsverama iespēja izvēlēties precīzāku grozījuma veidu (piemēram, aizstājot vārdus), lai precīzi un viegli uztverami atspoguļotu grozījuma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46.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Neatkārtojot Tieslietu ministrijas iepriekšējā atzinumā ietvertos apsvērumus par kompetences regulējumu administratīvā pārkāpuma procesā, papildus aicinām projekta anotācijā ietvert skaidrojumu, kāpēc šajā gadījumā nepieciešams paredzēt kompetenci koleģiālai iestādei – pašvaldības administratīvajai komisijai vai apakškomisijai – un kādos gadījumos procesu varētu veikt administratīvā komisija (apakškomisija). Šobrīd projektā jau ir paredzēta kompetence pašvaldības policijai, pašvaldības vides inspekcijai vai pašvaldības vides kontroles amatpersonai.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šobrīd esošais kompetences regulējuma skaidrojums nav saskaņots ar projekta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10. punktā minēto, ka netiek saglabāti ierobežojumi, kas saistīti ar labvēlīgu augšanas apstākļu nodrošināšanu esošam kokam un to, ka aizsargājamais koks ir iznīcināts, lūdzam skaidrot nepieciešamību projekta 8. pantā paredzētajai Dabas aizsardzības pārvaldes atļaujai būvniecības gadījumā. Norādām, ka kritēriju, kas pamatoti uz reālu un konkrētu vides aizsardzības interesi, neesība atļaujas izsniegšanai varētu būt pretrunā ar patvaļas aizlieguma principu. Attiecīgi lūdzam projekta anotācijā skaidrot, kādos gadījumos (saskaņā ar kādiem kritērijiem) atļauju izsniedz, vai izslēgt prasību pēc minētās atļaujas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un tiesiskās noteiktības nolūkā projektā noregulēt, kā paredzēts projekta 8. pantā paredzētajā gadījumā tiks mērīta attiecīgā teritorija gadījumā, ja iznīcināts un attiecīgi dabā nepastāv arī aizsargājamā koka celms.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24-TA-415</w:t>
    </w:r>
    <w:r>
      <w:br/>
    </w:r>
    <w:r w:rsidR="00000000" w:rsidRPr="00000000" w:rsidDel="00000000">
      <w:rPr>
        <w:rtl w:val="0"/>
      </w:rPr>
      <w:t xml:space="preserve">Izdrukāts 24.04.2025.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24-TA-415</w:t>
    </w:r>
    <w:r>
      <w:br/>
    </w:r>
    <w:r w:rsidR="00000000" w:rsidRPr="00000000" w:rsidDel="00000000">
      <w:rPr>
        <w:rtl w:val="0"/>
      </w:rPr>
      <w:t xml:space="preserve">Izdrukāts 24.04.2025.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Atzinumi_24-TA-415.docx</dc:title>
</cp:coreProperties>
</file>

<file path=docProps/custom.xml><?xml version="1.0" encoding="utf-8"?>
<Properties xmlns="http://schemas.openxmlformats.org/officeDocument/2006/custom-properties" xmlns:vt="http://schemas.openxmlformats.org/officeDocument/2006/docPropsVTypes"/>
</file>