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2.3. piedāvātā risinājuma nepieciešamās rīcības redakciju, svītrojot iekavās iekļauto tekstu "</w:t>
            </w:r>
            <w:r w:rsidR="00000000" w:rsidRPr="00000000" w:rsidDel="00000000">
              <w:rPr>
                <w:i w:val="1"/>
                <w:rtl w:val="0"/>
              </w:rPr>
              <w:t xml:space="preserve">ietverot norādi uz SPKC izstrādātajām paraugēdienkartēm, lai popularizētu to izmantošanu</w:t>
            </w:r>
            <w:r w:rsidR="00000000" w:rsidRPr="00000000" w:rsidDel="00000000">
              <w:rPr>
                <w:rtl w:val="0"/>
              </w:rPr>
              <w:t xml:space="preserve">", jo paraugēdienkartes nav aktualizētas atbilstoši pēdējo MK noteikumu Nr.172 grozījumiem un SPKC turpmāk tās neplāno izstrādāt.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SPKC, lai apzinātu paraugēdienkaršu aktualizēšanas nepieciešamību, šī mācību gada sākumā veicis izglītības iestāžu ēdinātāju aptauju, kuras rezultāti norāda, ka neskatoties uz augsto informētību (78%) par SPKC izstrādātajām paraugēdienkartēm, t. sk. par to saturu un kur tās atrast, tās izmanto tikai 17% aptaujāto ēdinātāju.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aptaujas datus un regulārās izmaiņas normatīvajā regulējumā, paraugēdienkaršu aktualizēšana nav izmaksu efektīvs pasākums. Papildus norādām, ka darba grupā tika apspriestas arī paraugēdienkaršu izstrādes un aktualizācijas relatīvi lielās izmaksas un norādīts, ka šī pasākuma izpildei ir nepieciešams papildu finansējums. Ja informatīvajā ziņojumā šobrīd tiek ietverta norāde, ka visi ietvertie pasākumi tiks īstenoti esošā budžeta ietvaros, nesaredzam iespēju nākamajā gadā īstenot šo 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Risinājums: izstrādāt skolēnu ilgtspējīgas ēdināšanas organizēšanas vadlīnijas un izvērtēt iespējas izstrādāt vienotas standarta ēdienkartes (piemēram, pamatojoties uz SPKC izstrādātajām paraugēdienkartēm).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Nikoluškina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25.03.2025. 09.05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25.03.2025. 09.05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