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lielāka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turklāt ar sarežģītu tehnisko piekļuvi. Plānoto izmaiņu rezultātā uzraudzības prasības kļūs vienotas un centralizētas, bet piekļuve datiem, kas nepieciešami šo prasību izpildei, saglabāsies nevienlīdzīga, tādējādi radot nevienlīdzīgus apstākļus un nekonsekvenci. Līdz ar to AS “mogo” ieskatā likumprojekts pašreizējā redakcijā ir nepilnīgs, jo tas vērsts tikai un uzraudzības institūcijas maiņu, taču neatrisina galveno problēmu – vienlīdzīgu un efektīvu NILLTPFN prasību izpildes instrumentu nodrošināšanu visiem tirgus dalībniekiem, kuriem ir līdzvērtīg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6.05.2026.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06.05.2026.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