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29.</w:t>
            </w:r>
            <w:r w:rsidR="00000000" w:rsidRPr="00000000" w:rsidDel="00000000">
              <w:rPr>
                <w:b w:val="1"/>
                <w:vertAlign w:val="superscript"/>
                <w:rtl w:val="0"/>
              </w:rPr>
              <w:t xml:space="preserve">2 </w:t>
            </w:r>
            <w:r w:rsidR="00000000" w:rsidRPr="00000000" w:rsidDel="00000000">
              <w:rPr>
                <w:b w:val="1"/>
                <w:rtl w:val="0"/>
              </w:rPr>
              <w:t xml:space="preserve">Rīcība ar publiskai personai, atvasinātai publiskai personai piederošu nekustamo īpašumu valsts nozīmes civilās aviācijas lidlauka īpašnieka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nozīmes civilās aviācijas lidlauka īpašnieka pārvaldīšanā uz līguma pamata tiek nodots nekustamais īpašums, kas netiek izmantots valsts pārvaldes funkciju vai pašvaldības autonomās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nozīmes civilās aviācijas lidlauka īpašniekam ir tiesības apgrūtināt nekustamo īpašumu ar lietu tiesībām, ar servitūtiem ēku (būvju) virszemes un pazemes komunikāciju būvniecībai vai citas saimnieciskās darbības veikšanai, iznomāt, izīrēt, slēgt par to apbūves tiesību līgumu, ierosināt nekustamā īpašuma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nozīmes civilās aviācijas lidlauka īpašnieks, īstenojot šā panta otrajā daļā noteiktās tiesības rīkojas nekustamā īpašuma īpašnieka vārdā. Valsts nozīmes civilās aviācijas lidlauka īpašnieks darījumos ar tā pārvaldīšanā nodoto publiskai personai piederošo nekustamo īpašumu ir atbildīgs par visām nastām un ar savām darbībām īpašniekam un trešajām personām nodarītajiem zaudējumiem.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Nekustamā īpašuma nomas, īres vai apbūves tiesības termiņš, kā arī nodibināto servitūtu tiesību termiņš drīkst pārsniegt 30 gadus,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darbības nav pretrunā ar Valsts nozīmes civilās aviācijas lidlauka īpašnieka stratēģiskās attīstības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nekustamais īpašums nav nepieciešams valsts pārvaldes funkciju vai pašvaldības autonomo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līguma darbības termiņā godprātīgi pildītas līguma saistības un nav parādsaistību;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netiek mainīts līguma priekšmets.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Beidzoties apbūves tiesībām valsts nozīmes civilās aviācijas lidlauka īpašnieks par ēku (būvi), kura uzcelta uz apbūves tiesības pamata, apbūves tiesīgajam izmaksā atlīdzību, ja tāda paredzēta līgumā par apbūves tiesības piešķiršanu. Atlīdzība izmaksājama atbilstoši neatkarīga vērtētāja noteiktajam atlīdzināmo izdevumu apmēram uz apbūves tiesības līguma izbeigšanas brīdi, ja ēka (būve) ir ekspluatācijai derīgā stāvoklī, tajā nav veikta patvaļīga būvniecība un apbūves tiesīgais ir nodevis valsts nozīmes civilās aviācijas lidlauka īpašniekam ēkas (būves) būvniecības un ekspluatācijas dokumentāciju. Atlīdzināmo izdevumu apmēru nosaka saskaņā ar Civillikumu, ņemot vērā nolietojumu apbūves tiesības līguma darbības laikā, veikto darba izmaksu atbilstību tirgus cenām darbu veikšanas brīdī un citus apstākļus. Saskaņā ar likuma "Par aviāciju" 29.</w:t>
            </w:r>
            <w:r w:rsidR="00000000" w:rsidRPr="00000000" w:rsidDel="00000000">
              <w:rPr>
                <w:vertAlign w:val="superscript"/>
                <w:rtl w:val="0"/>
              </w:rPr>
              <w:t xml:space="preserve">2 </w:t>
            </w:r>
            <w:r w:rsidR="00000000" w:rsidRPr="00000000" w:rsidDel="00000000">
              <w:rPr>
                <w:rtl w:val="0"/>
              </w:rPr>
              <w:t xml:space="preserve">pirmo daļu, pēc apbūves tiesības izbeigšanās ēka (būve) pāriet valsts nozīmes civilās aviācijas lidlauka īpašnieka  pārvaldīšanā.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ieskatā likumprojekts faktiski nerisina Anotācijā minēto problēmu, par cik tas neparedz pagarināt likumā noteikto maksimālo nekustamā īpašuma nomas, īres vai apbūves tiesības termiņu, tikai paredz iespēju to pagarināt, kad aizritējuši 30 gadi, kā rezultātā nevar uzskatīt, ka nomas/apbūves tiesības maksas ienākumi varētu palielināties, jo investoram jāņem arī vērā, ka līgums var netikt pagarināts, kā rezultātā neskaidrība par līguma pagarināšanu jebkurā gadījumā paliek.  Pie tam nav saprotams, kā tiks ņemti vērā anotācijā norādītie kritēriji (plānoto ieguldījumu, pakalpojumu būtiskums, nekustamā īpašuma tirgus tendences un pieprasījum pēc objekta vai pakalpojuma). Kā arī secināms, ka 29.2  panta ceturtajā daļā noteiktie kritēriji netiek sasaistīti ar ieguldījumu atpelnīšanu, pēc kā būtu iespējams izsludināt konkursu par jaunu nomas līgumu. Attiecīgi aicinām precizēt likumprojektu vai tā anotāciju, t.sk. papildinot to ar norādi uz nepieciešamību slēdzot ilgtermiņa līgumus vērtēt arī ietekmi uz konkurenci, kā arī  konkurences tiesību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Antis Apsītis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24.01.2024.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24.01.2024.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Atzinumi_22-TA-1978.docx</dc:title>
</cp:coreProperties>
</file>

<file path=docProps/custom.xml><?xml version="1.0" encoding="utf-8"?>
<Properties xmlns="http://schemas.openxmlformats.org/officeDocument/2006/custom-properties" xmlns:vt="http://schemas.openxmlformats.org/officeDocument/2006/docPropsVTypes"/>
</file>