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664 "Kārtība, kādā Aizsardzības ministrija īsteno projektu konkursus militāru vai divējāda lietojuma produktu attīstības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militāra lietojuma preces – preces, kas īpaši izstrādātas vai pielāgotas militārām vajadzībām un ir izmantojamas kā ieroči, munīcija vai militārais aprīkojums un noteiktas 2023. gada 20. februāra Eiropas Savienības kopējā militāro precu sarakstā 2023/C 72/02, kā arī to sastāvdaļas un detaļas;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publisko līdzekļu piešķiršana nav kvalificējama kā komercdarbības atbalsta saimnieciskai darbībai, ja tie tiek piešķirti, ievērojot Līguma par Eiropas Savienības darbību (turpmāk - LESD) 346.panta 1.punkta b) apakšpunktā noteikto, proti, publiskie līdzekļi tiek piešķirti tādām precēm, kas minētas 1958.gada Padomes lēmumā, un šie pasākumi ir vajadzīgi svarīgu attiecīgās dalībvalsts drošības interešu aizsardzībai. Turklāt saskaņā ar Eiropas Savienības tiesas judikatūru dalībvalstij, kas vēlas izmantot LESD 346.panta 1.punkta b) apakšpunktā noteikto izņēmumu, ir jāiesniedz pierādījumi tam, ka šie pasākumi nepārsniedz to, kas ir vajadzīgs, lai garantētu svarīgas drošības intereses (sīkāk skat. </w:t>
            </w:r>
            <w:r w:rsidR="00000000" w:rsidRPr="00000000" w:rsidDel="00000000">
              <w:rPr>
                <w:i w:val="1"/>
                <w:rtl w:val="0"/>
              </w:rPr>
              <w:t xml:space="preserve">Eiropas Komisijas 2017.gada 20.novembra lēmumu lietā par valsts atbalstu SA.34308, ko īstenojusi Grieķijas Republika par labu Hellenic Defence Systems S.A.</w:t>
            </w:r>
            <w:r w:rsidR="00000000" w:rsidRPr="00000000" w:rsidDel="00000000">
              <w:rPr>
                <w:rtl w:val="0"/>
              </w:rPr>
              <w:t xml:space="preserve"> (pieejams: https://eur-lex.europa.eu/legal-content/LV/TXT/HTML/?uri=CELEX:32018D0563), piemēram, tā 62. un 63.punktu). Ievērojot iepriekš minēto un ņemot vērā, ka ar noteikumu projektu ir plānots grozīt MKN 664 2.4.apakšpunktu, aizstājot tajā iepriekš iekļauto atsauci uz LESD 346.panta 1.punkta b) apakšpunktu un tajā pieminēto sarakstu, ar atsauci uz </w:t>
            </w:r>
            <w:r w:rsidR="00000000" w:rsidRPr="00000000" w:rsidDel="00000000">
              <w:rPr>
                <w:i w:val="1"/>
                <w:rtl w:val="0"/>
              </w:rPr>
              <w:t xml:space="preserve">2023.gada 20.februāra Eiropas Savienības kopējā militāro preču sarakstu 2023/C 72/02</w:t>
            </w:r>
            <w:r w:rsidR="00000000" w:rsidRPr="00000000" w:rsidDel="00000000">
              <w:rPr>
                <w:rtl w:val="0"/>
              </w:rPr>
              <w:t xml:space="preserve">, lūdzam anotācijā iekļaut skaidrojumu, vai joprojām var uzskatīt, ka jaunās atsauces piemērošana nodrošinās to, ka publiskie līdzekļi tiks piešķirti vienīgi tādiem militāriem produktiem, kas saistīti ar drošības interešu aizsardzību un tādējādi uz to nav attiecināmi komercdarbības atbalsta kontroles nosacījumi un atbildīs LESD 346.panta 1.punkta b) apakšpunktam un tajā pieminētajam sarakstam.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atbalsta programmas operators – organizācija, kas veic šo noteikumu 1.1.apakšpunktā minēto konkursu pārvaldību (pirmsakcelerācijas programmai – papildus tās īstenošanu), sagatavojot un publicējot konkursu nolikumu, pārbaudot pretendentu atbilstību konkursa prasībām, veicot pieteikumu vērtēšanu, kā arī uzturot nepieciešamo dokumentu pārvaldības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ir paredzēts, ka atbalsta programmas operators nodrošinās attiecīgo konkursu pārvaldību (pirmsakcelerācijas programmai – papildus tās īstenošanu),</w:t>
            </w:r>
            <w:r w:rsidR="00000000" w:rsidRPr="00000000" w:rsidDel="00000000">
              <w:rPr>
                <w:u w:val="single"/>
                <w:rtl w:val="0"/>
              </w:rPr>
              <w:t xml:space="preserve"> sagatavojot un publicējot konkursu nolikumu</w:t>
            </w:r>
            <w:r w:rsidR="00000000" w:rsidRPr="00000000" w:rsidDel="00000000">
              <w:rPr>
                <w:rtl w:val="0"/>
              </w:rPr>
              <w:t xml:space="preserve">, pārbaudot pretendentu atbilstību konkursa prasībām, veicot pieteikumu vērtēšanu, kā arī uzturot nepieciešamo dokumentu pārvaldības sistēmu, komercdarbības atbalsta kontekstā lūdzam precizēt, vai par atbalsta programmu Komercdarbības atbalsta kontroles likuma 1.panta otrās daļas 4.punktā izpratnē būs uzskatāmi MKN 664 vai arī izstrādātie projektu konkursu nolikumi. Vēršam uzmanību, ka kontekstā ar Finanšu ministrijas izteikto iebildumu pie noteikumu projekta 11.punkta par to, kas pirmsakcelerācijas programmas ietvaros būs atbalsta sniedzējs, gadījumā, ja par atbalsta programmu ir kvalificējami MKN 664 un atbalsta sniedzējs pirmsakcelerācijas programmā būs nevis Aizsardzības ministrija, bet atbalsta programmas operators, ir nepieciešams pārskatīt un precizēt visas tās noteikumu projekta normas, kas attiecas uz atbalsta sniedzēja veicamajām darbībām, izvērtējot un piešķirot komercdarbības atbalstu de minimis atbalsta veidā tā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Atbalsta piešķiršanu un uzraudzību nodrošina Aizsardzības ministrijas  Industrijas atbalsta komisija (turpmāk – komisija). Komisijas sastāvā ir vismaz četri locekļi. Komisijas darbā var pieaicināt neatkarīgus ekspertus. Komisijas sastāvā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22.aprīļa rīkojuma Nr.221 "Par finansējuma piešķiršanu Rīgas Tehniskajai universitātei, Latvijas Biozinātņu un tehnoloģiju universitātei, Latvijas Universitātei un Rīgas Stradiņa universitātei aizsardzības pirmsakcelerācijas programmas īstenošanai 2025. un 2026. gadā" (turpmāk - MK rīkojums Nr.221) anotācijā ir norādīts, ka: "</w:t>
            </w:r>
            <w:r w:rsidR="00000000" w:rsidRPr="00000000" w:rsidDel="00000000">
              <w:rPr>
                <w:i w:val="1"/>
                <w:rtl w:val="0"/>
              </w:rPr>
              <w:t xml:space="preserve">Programmas īstenošanu nodrošinās un attiecīgi programmas ietvaros paredzēto atbalstu jaunuzņēmumiem faktiski piešķirs SIA “UniLab”, kas par šo darbību veikšanu ar universitātēm slēgs attiecīgu līgumu. Visas SIA “UniLab” programmas izmaksas caur sniegtajiem pakalpojumiem tiks novirzītas jaunuzņēmumiem un SIA “UniLab” attiecībā uz gala labuma guvējiem (jaunuzņēmumiem) darbosies tikai kā starpnieks, līdz ar to SIA “UniLab” negūs labumu no programmas īstenošanai piešķirtā publiskā finansējuma un programmas ietvaros tas nav kvalificējams kā komercdarbības atbalsta saņēmējs. </w:t>
            </w:r>
            <w:r w:rsidR="00000000" w:rsidRPr="00000000" w:rsidDel="00000000">
              <w:rPr>
                <w:i w:val="1"/>
                <w:u w:val="single"/>
                <w:rtl w:val="0"/>
              </w:rPr>
              <w:t xml:space="preserve">SIA “UniLab” kā atbalsta sniedzējs jaunuzņēmumiem īstenos komercdarbības atbalsta izmaksu uzskaiti un kontroli attiecībā uz tiem piešķirto komercdarbības atbalstu, īstenojot pirmsakcelerācijas programmu noteiktā finansējuma ietvaros.</w:t>
            </w:r>
            <w:r w:rsidR="00000000" w:rsidRPr="00000000" w:rsidDel="00000000">
              <w:rPr>
                <w:i w:val="1"/>
                <w:rtl w:val="0"/>
              </w:rPr>
              <w:t xml:space="preserve"> Piemērojamā komercdarbības atbalsta regulējuma (t.i., Komisijas regulas Nr.2023/2831) nosacījumi tiks ietverti individuālajos programmas dalības līgumos ar katru jaunuzņēmumu.</w:t>
            </w:r>
            <w:r w:rsidR="00000000" w:rsidRPr="00000000" w:rsidDel="00000000">
              <w:rPr>
                <w:rtl w:val="0"/>
              </w:rPr>
              <w:t xml:space="preserve">" Tomēr šobrīd no izstrādātā noteikumu projekta izriet, ka atbalsta sniedzējs, kas nodrošinās pirmsakcelerācijas atbalsta piešķiršanu, būs Aizsardzības ministrija (piemēram, noteikumu projekta 11., 30., 31. un 32.punkts), savukārt atbalsta programmas operators atbilstoši noteikumu projekta 2.10.apakšpunktam nodrošinās vienīgi konkursu pārvaldību (pirmsakcelerācijas programmai – papildus tās īstenošanu), sagatavojot un publicējot konkursu nolikumu, pārbaudot pretendentu atbilstību konkursa prasībām, veicot pieteikumu vērtēšanu, kā arī uzturot nepieciešamo dokumentu pārvaldības sistēmu. Līdz ar to vēršam uzmanību, ka šobrīd ir konstatējama pretruna starp MK rīkojuma Nr.221 anotācijā un noteikumu projektā  noteikto atbalsta sniedzēju projektu konkursu, tai skaitā pirmsakcelerācijas programmas, ietvaros. Ņemot vērā iepriekš minēto, lūdzam pārskatīt un precizēt noteikumu projektu attiecībā uz tajā norādīto atbalsta sniedzēju, ja attiecināms, vai arī sniegt skaidrojumu anotācijā par pieejas maiņu atbalsta piešķiršanā pirmsakcelerācijas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 sadaļas tabulu "Tiesību akta projekta ietekme uz valsts budžetu un pašvaldību budžetiem", jo tajā nav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6.sadaļu. Saskaņā ar Ministru kabineta 2021.gada 7.septembra noteikumu Nr.617 "Tiesību akta projekta sākotnējās ietekmes izvērtēšanas kārtība" 15.punktu visiem projektiem aizpilda šo noteikumu 14.1., 14.2., </w:t>
            </w:r>
            <w:r w:rsidR="00000000" w:rsidRPr="00000000" w:rsidDel="00000000">
              <w:rPr>
                <w:b w:val="1"/>
                <w:rtl w:val="0"/>
              </w:rPr>
              <w:t xml:space="preserve">14.6</w:t>
            </w:r>
            <w:r w:rsidR="00000000" w:rsidRPr="00000000" w:rsidDel="00000000">
              <w:rPr>
                <w:rtl w:val="0"/>
              </w:rPr>
              <w:t xml:space="preserve">. (projekta izstrādē iesaistītās institūcijas un sabiedrības līdzdalības process) un 14.7. apakšpunktā minēto anotācijas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Saskaņā ar Ministru kabineta 2021.gada 7.septembra noteikumu Nr.617 "Tiesību akta projekta sākotnējās ietekmes izvērtēšanas kārtība" 15.punktu visiem projektiem aizpilda šo noteikumu 14.1., 14.2., 14.6. un </w:t>
            </w:r>
            <w:r w:rsidR="00000000" w:rsidRPr="00000000" w:rsidDel="00000000">
              <w:rPr>
                <w:b w:val="1"/>
                <w:rtl w:val="0"/>
              </w:rPr>
              <w:t xml:space="preserve">14.7</w:t>
            </w:r>
            <w:r w:rsidR="00000000" w:rsidRPr="00000000" w:rsidDel="00000000">
              <w:rPr>
                <w:rtl w:val="0"/>
              </w:rPr>
              <w:t xml:space="preserve">. (projekta izpildes nodrošināšana un tās ietekme uz institūcijām) apakšpunktā minēto anotācijas 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Kur ir iespējams nodalīt, ka attīstāmā tehnoloģija vai inovatīvais risinājums tiek plānots izmantošanai vienīgi aizsardzības sektorā, netiek piemēroti komercdarbības atbalsta regulējuma nosacījumi un attiecīgi netiek veikta komercdarbības atbalsta finansējuma uzskaite, jo gadījumā, ja publiskā finansējuma piešķiršana paredzēta darbībām militārajā jomā, attiecīgi “īstenojot valsts varu” un nodrošinot valsts drošības intereses, šāda publiskā finansējuma piešķiršana nekvalificējas kā atbalsts tā saimnieciskajai darbībai un tādējādi nav jāpiemēro komercdarbības atbalsta regulējuma nosacījumi (skat. Komisijas paziņojuma par Līguma ar Eiropas Savienības darbību 107. panta 1. punktā minēto valsts atbalsta jēdzienu (2016/C 262/01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pašreizējā noteikumu projekta 8.</w:t>
            </w:r>
            <w:r w:rsidR="00000000" w:rsidRPr="00000000" w:rsidDel="00000000">
              <w:rPr>
                <w:vertAlign w:val="superscript"/>
                <w:rtl w:val="0"/>
              </w:rPr>
              <w:t xml:space="preserve">1</w:t>
            </w:r>
            <w:r w:rsidR="00000000" w:rsidRPr="00000000" w:rsidDel="00000000">
              <w:rPr>
                <w:rtl w:val="0"/>
              </w:rPr>
              <w:t xml:space="preserve"> redakcija neatbilst juridiskās tehnikas prasībām. Līdz ar to lūdzam minēto normu precizēt, paredzot, ka atbalsts, kuru šo noteikumu ietvaros piešķir vienīgi militārajiem projektiem aizsardzības jomā, nav kvalificējams kā komercdarbības atbalsts, kā arī iekļaut nosacījumu, ka attiecībā uz publisko līdzekļu piešķīrumu, atbalsta saņēmējs veic atbalsta uzskaites nodalīšanu, lai tā veiktā saimnieciskā darbība negūtu labumu no publiskajiem līdzekļiem, kas piešķirti militārajam projektam aizsardzības jomā. Papildus lūdzam iekļaut anotācijā atbilstošu skaidrojumu, tai skaitā, norādot sasaisti ar </w:t>
            </w:r>
            <w:r w:rsidR="00000000" w:rsidRPr="00000000" w:rsidDel="00000000">
              <w:rPr>
                <w:i w:val="1"/>
                <w:rtl w:val="0"/>
              </w:rPr>
              <w:t xml:space="preserve">Komisijas paziņojuma par Līguma ar Eiropas Savienības darbību 107. panta 1. punktā minēto valsts atbalsta jēdzienu (2016/C 262/01) </w:t>
            </w:r>
            <w:r w:rsidR="00000000" w:rsidRPr="00000000" w:rsidDel="00000000">
              <w:rPr>
                <w:rtl w:val="0"/>
              </w:rPr>
              <w:t xml:space="preserve">17.punktu.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maksa par kredītiestādes vai akciju sabiedrības "Attīstības finanšu institūcija Altum" garantijas izsniegšanu, ja tā tiek pieprasīta saskaņā ar konkursa nolikumā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dzēst vārdus “vai akciju sabiedrības "Attīstības finanšu institūcija Altum"”, jo Altum šādas garantijas nesniedz pa tiešo komersantam. Altum var izsniegt garantiju bankas izsniegtai garantijas vēstulei (piem., pārgarantija konkursa/avansa garantijai).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Kapusta (ALTUM)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11.09.2025.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25-TA-1937</w:t>
    </w:r>
    <w:r>
      <w:br/>
    </w:r>
    <w:r w:rsidR="00000000" w:rsidRPr="00000000" w:rsidDel="00000000">
      <w:rPr>
        <w:rtl w:val="0"/>
      </w:rPr>
      <w:t xml:space="preserve">Izdrukāts 11.09.2025.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Atzinumi_25-TA-1937.docx</dc:title>
</cp:coreProperties>
</file>

<file path=docProps/custom.xml><?xml version="1.0" encoding="utf-8"?>
<Properties xmlns="http://schemas.openxmlformats.org/officeDocument/2006/custom-properties" xmlns:vt="http://schemas.openxmlformats.org/officeDocument/2006/docPropsVTypes"/>
</file>