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24-TA-111: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12. septembra noteikumos Nr. 529 "Eiropas Savienības Atveseļošanas un noturības mehānisma plāna 2. komponentes "Digitālā transformācija" 2.3. reformu un investīciju virziena "Digitālās prasmes" 2.3.1.2.i. investīcijas "Uzņēmumu digitālo prasmju attīstība"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MK noteikumu projekta 1. pielikuma finansējuma ailē izteikt pareizu investīcijas finansējuma summu, norādot tikai AF finansējumu.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 (Andrejs Zambžetskis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projekta 1.pielikuma tabula "Vērtēšanas kritēriji" attiecībā uz Finansējumu papildināta par valsts budžeta finansējumu pievienotās vērtības nodokļa (PVN) segšanai, kā arī anotācijas  3. sadaļā "Tiesību akta projekta ietekme uz valsts budžetu un pašvaldību budžetiem" aiz tabulas kā cita informācija norādīts, ka PVN izmaksas segs no valsts budžeta līdzekļiem. Savukārt anotācijas 1.3. sadaļā nav sniegta informācija, kāpēc PVN izmaksas jāsedz no valsts budžeta līdzekļiem. Tādējādi skaidrības labad, lūdzam papildināt anotācijas 1.3. sadaļu, paskaidrojot pēc būtības, kāpēc nepieciešams valsts budžeta finansējums PVN segšanai, proti, kādi ir veiktie darījumi, kas ir darījumu veicēji un kādos gadījumos PVN izmaksas jāsedz no valsts budžeta līdzekļiem.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Tatjana Jacuka (FM) (Dace Leimane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ar PVN summu papildināt protokollēmu, kā arī informāciju par to iekļaut arī anotācijā. Vienlaikus nevaram piekrist, ka PVN ir aprēķināms no visas AF finansējuma summas, jo izņēmums ir jāattiecina tikai uz finansējuma saņēmējiem (EDIC un augstskolām) izdevumiem, nevis uz gala labuma guvējiem. Lūdzam atbilstoši precizēt MK noteikumu projektu, anotāciju, kā arī citus dokumentus.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 (Andrejs Zambžetskis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pielikumā sniegta informācija par nepieciešamo valsts budžeta finansējumu pievienotās vērtības nodokļa segšanai ne vairāk kā 1 394 222 euro apmērā, vienlaikus anotācijas 3.sadaļā nav atspoguļota projekta ietekme uz valsts budžetu, kā arī sniegts skaidrojums un pamatojums pievienotās vērtības nodokļa segšanai no valsts budžeta līdzekļiem plānotajiem finansējuma saņēmējiem.  Ņemot vērā minēto, ja tiek paredzēts segt pievienotās vērtības nodokli no valsts budžeta līdzekļiem, tad attiecīgi  2., 2.1., 3., 3.1., 5. un 5.1. punktā izmaiņu ailēs jānorāda tam nepieciešamā finansējuma apmērs, 6.punktā jāsniedz detalizēts aprēķins, kā arī informāciju punktā “Cita informācija” jāizsaka šādā redakcijā: “Nepieciešamo finansējumu pievienotās vērtības nodokļa segšanai Finanšu ministrija lūgs pārdalīt no budžeta resora "74. Gadskārtējā valsts budžeta izpildes procesā pārdalāmais finansējums" 80.00.00 programmas „Nesadalītais finansējums Eiropas Savienības politiku instrumentu un pārējās ārvalstu finanšu palīdzības līdzfinansēto projektu un pasākumu īstenošanai”.”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16.3. tas atbilst komercdarbības atbalsta nosacījumiem saskaņā ar šo noteikumu </w:t>
            </w:r>
            <w:r w:rsidR="00000000" w:rsidRPr="00000000" w:rsidDel="00000000">
              <w:rPr>
                <w:rtl w:val="0"/>
              </w:rPr>
              <w:t xml:space="preserve">25.</w:t>
            </w:r>
            <w:r w:rsidR="00000000" w:rsidRPr="00000000" w:rsidDel="00000000">
              <w:rPr>
                <w:rtl w:val="0"/>
              </w:rPr>
              <w:t xml:space="preserve"> punktā</w:t>
            </w:r>
            <w:r w:rsidR="00000000" w:rsidRPr="00000000" w:rsidDel="00000000">
              <w:rPr>
                <w:rtl w:val="0"/>
              </w:rPr>
              <w:t xml:space="preserve"> un 5. nodaļā minētajiem </w:t>
            </w:r>
            <w:r w:rsidR="00000000" w:rsidRPr="00000000" w:rsidDel="00000000">
              <w:rPr>
                <w:i w:val="1"/>
                <w:rtl w:val="0"/>
              </w:rPr>
              <w:t xml:space="preserve">de minimis</w:t>
            </w:r>
            <w:r w:rsidR="00000000" w:rsidRPr="00000000" w:rsidDel="00000000">
              <w:rPr>
                <w:rtl w:val="0"/>
              </w:rPr>
              <w:t xml:space="preserve"> atbalsta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šo MKN 25.punktā nav minēti komercdarbības atbalsta nosacījumi, bet gan izslēgšanas kritēriji, līdz ar to no šī MKN 16.3.apakšpunkta ir jādzēš atsauce uz 25.punktu.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Cintija Ripa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20.8. tā atbilst komercdarbības atbalsta nosacījumiem atbilstoši šo noteikumu </w:t>
            </w:r>
            <w:r w:rsidR="00000000" w:rsidRPr="00000000" w:rsidDel="00000000">
              <w:rPr>
                <w:rtl w:val="0"/>
              </w:rPr>
              <w:t xml:space="preserve">25.</w:t>
            </w:r>
            <w:r w:rsidR="00000000" w:rsidRPr="00000000" w:rsidDel="00000000">
              <w:rPr>
                <w:rtl w:val="0"/>
              </w:rPr>
              <w:t xml:space="preserve"> punktā</w:t>
            </w:r>
            <w:r w:rsidR="00000000" w:rsidRPr="00000000" w:rsidDel="00000000">
              <w:rPr>
                <w:rtl w:val="0"/>
              </w:rPr>
              <w:t xml:space="preserve"> un 5. nodaļā minētajiem </w:t>
            </w:r>
            <w:r w:rsidR="00000000" w:rsidRPr="00000000" w:rsidDel="00000000">
              <w:rPr>
                <w:i w:val="1"/>
                <w:rtl w:val="0"/>
              </w:rPr>
              <w:t xml:space="preserve">de minimis </w:t>
            </w:r>
            <w:r w:rsidR="00000000" w:rsidRPr="00000000" w:rsidDel="00000000">
              <w:rPr>
                <w:rtl w:val="0"/>
              </w:rPr>
              <w:t xml:space="preserve">atbalsta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šo MKN 25.punktā nav minēti komercdarbības atbalsta nosacījumi, bet gan izslēgšanas kritēriji, līdz ar to no šī MKN 20.8.apakšpunkta ir jādzēš atsauce uz 25.punktu.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Cintija Ripa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Projekta vadības izmaksas, tai skaitā darba devēja valsts sociālās apdrošināšanas obligātās iemaksas, nepārsniedz 20 % no kopējām projekta attiecināmajām izmaksām: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izvairītos no papildus interpretācijas šī MK noteikuma punkta piemērošanā, lūdzam papildināt Anotāciju, norādot, ka attiecībā uz 20% ierobežojumu projekta vadības izmaksām, projekta noslēgumā faktiskā projekta vadības izmaksu kopsumma un tās procentuālais īpatsvars būtu skatāms kopsakarā ar sasniegto rādītāju apjomu un iemesliem, kāpēc projekta faktiskā kopējā attiecināmo izdevumu summa ir samazinājusies. Piemēram, pie projekta iesnieguma apstiprinātais apjoms projekta vadības izmaksām (20%) nebūtu samazināms ja, piemēram, projekta īstenošanas laikā atsevišķiem mācību kursiem izveidosies ietaupījums, tādējādi samazinot kopējās projekta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Bērziņa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61.2. nodokļi, tai skaitā pievienotās vērtības nodoklis, muitas nodokļi, nodevas un soda maksājumi, izņemot šo noteikumu </w:t>
            </w:r>
            <w:r w:rsidR="00000000" w:rsidRPr="00000000" w:rsidDel="00000000">
              <w:rPr>
                <w:rtl w:val="0"/>
              </w:rPr>
              <w:t xml:space="preserve">44.2.6.</w:t>
            </w:r>
            <w:r w:rsidR="00000000" w:rsidRPr="00000000" w:rsidDel="00000000">
              <w:rPr>
                <w:rtl w:val="0"/>
              </w:rPr>
              <w:t xml:space="preserve"> apakšpunktā</w:t>
            </w:r>
            <w:r w:rsidR="00000000" w:rsidRPr="00000000" w:rsidDel="00000000">
              <w:rPr>
                <w:rtl w:val="0"/>
              </w:rPr>
              <w:t xml:space="preserve"> un </w:t>
            </w:r>
            <w:r w:rsidR="00000000" w:rsidRPr="00000000" w:rsidDel="00000000">
              <w:rPr>
                <w:rtl w:val="0"/>
              </w:rPr>
              <w:t xml:space="preserve">53.</w:t>
            </w:r>
            <w:r w:rsidR="00000000" w:rsidRPr="00000000" w:rsidDel="00000000">
              <w:rPr>
                <w:rtl w:val="0"/>
              </w:rPr>
              <w:t xml:space="preserve"> punktā</w:t>
            </w:r>
            <w:r w:rsidR="00000000" w:rsidRPr="00000000" w:rsidDel="00000000">
              <w:rPr>
                <w:rtl w:val="0"/>
              </w:rPr>
              <w:t xml:space="preserve"> minētos gadījumus. Ja šādas izmaksas ir radušās, gala labuma guvējs tās finansē no saviem līdzekļiem;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pievienotās vērtības nodokļa izmaksas var rasties arī pašam finansējuma saņēmējam, lūdzam papildināt ar "finansējuma saņēmējs vai gala labuma guvējs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nodokļi, tai skaitā pievienotās vērtības nodoklis, muitas nodokļi, nodevas un soda maksājumi, izņemot šo noteikumu 44.2.6. apakšpunktā un 53. punktā minētos gadījumus. Ja šādas izmaksas ir radušās, finansējuma saņēmējs vai gala labuma guvējs tās finansē no saviem līdzekļiem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Bērziņa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Finansējuma saņēmējs pirmās atlases kārtas ietvaros digitālo pamatprasmju apguvē klātienes un hibrīdformas apmācību kursos un otrās atlases kārtas ietvaros iesniedz Kohēzijas sistēmā paraksta lapu, kur gala labuma guvējs ar parakstu apliecina dalību apmācību kursā.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tiešsaistes apmācībās netiek sagatavotas paraksta lapas, kur gala labuma guvējs ar parakstu apliecina dalību apmācību kursā, bet gan izdruka no mācību platformas, ekrānšāviņi, lūdzam papildināt.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Finansējuma saņēmējs pirmās atlases kārtas ietvaros digitālo pamatprasmju apguvē klātienes un hibrīdformas apmācību kursos un otrās atlases kārtas ietvaros iesniedz Kohēzijas sistēmā paraksta lapu, kur gala labuma guvējs ar parakstu apliecina dalību apmācību kursā vai elektronisku izdruku no mācību platformas, ekrānšāviņus.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Bērziņa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 Gala labuma guvēja pienākums ir apmeklēt apmācību kursa nodarbības vismaz 75 % apmērā.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apmācību kursi tiek nodrošināti atbilstoši šo noteikumu 29.2. apakšpunktam, t.i. tiešsaistes apmācību kurss atrodas platformā, kurā vismaz divas no platformā esošajām augstākās izglītības iestādēm piedāvā apmācību programmas kādā no Eiropas Savienības dalībvalstu oficiālajām valodām, ne visos gadījumos ir iespējams saņemt reģistrēta apmeklējuma izdrukas no platformas, lūdzam anotācijā norādīt, ka, ja apmācību kursi tiek nodrošināti atbilstoši šo noteikumu 29.2. apakšpunktam un 34.punktam, ir pietiekams apstiprinājums par sekmīgu apmācību kursu apguvi.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Bērziņa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80.1. Komisijas regulas Nr.2023/2831 1.panta 1.punkta "a", "b", "c" un "d" apakšpunktā noteiktajās nozarēs un veic Komisijas regulas Nr.2023/2831 1.panta 1.punkta "e" un "f" apakšpunktā noteiktās darbības, un pretendē uz komercdarbības atbalstu saskaņā ar Komisijas regulu Nr. 2023/2831;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nozares ministrijas viedokli par attiecīgā Komisijas regulas Nr. 2023/2831 nosacījuma redakciju, aicinām izteikt MK noteikumu 80.1.apakšpunktu piedāvātajā redakcijā, lai atbalsta sniedzējam un atbalsta pretendentam nodrošinātu korektu izpratni par Komisijas regulas Nr.2023/2831 1.panta 1.punktā ietverto nosacījumu.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regulas Nr.2023/2831 1.panta 1.punktā noteiktajās neatbalstāmajās nozarēs vai veic Komisijas regulas Nr.2023/2831 1.panta 1.punktā neatbalstāmās darbības un pretendē uz komercdarbības atbalstu saskaņā ar Komisijas regulu Nr. 2023/2831;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Sarma Liepa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 Gala labuma guvējs de minimis atbalstu drīkst kumulēt ar citu de minimis atbalstu līdz Komisijas regulas Nr. ​​2023/2831 3. panta 2. punktā noteiktajam attiecīgajam robežlielumam, kā arī drīkst kumulēt ar citu komercdarbības atbalstu, tai skaitā attiecībā uz vienām un tām pašām attiecināmajām izmaksām vai citu komercdarbības atbalstu tai pašai riska finansējuma investīcijai saskaņā ar Komisijas regulas Nr. ​​2023/2831 5. pantu. Ja par vienām un tām pašām projekta attiecināmajām izmaksām tiek sniegts atbalsts vairāku komercdarbības atbalsta programmu ietvaros, gala labuma guvējs finansējuma saņēmējam iesniedz informāciju par plānoto un piešķirto atbalstu par tām pašām attiecināmajām izmaksām, norādot atbalsta piešķiršanas datumu (tai skaitā plānoto atbalsta piešķiršanas datumu), atbalsta intensitāti, atbalsta sniedzēju, atbalsta pasākumu vai investīciju un plānoto vai piešķirto atbalsta summu.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atbalsta pretendentam un atbalsta sniedzējam nodrošinātu korektu kumulācijas nosacījuma izpratni un piemērošanu praksē aicinām izteikt MK noteikumu 94.punktu piedāvātajā redakcijā, norādot visus piemērojamos kumulācijas nosacījumus gan de minimis atbalstam, gan citam komercdarbības atbalstam.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noteikumu ietvaros piešķirto de minimis atbalstu drīkst kumulēt ar citu de minimis atbalstu, tai skaitā attiecībā uz vienām un tām pašām attiecināmajām izmaksām, līdz Komisijas regulas Nr.2023/2831 3.panta 2.punktā noteiktajam attiecīgajam robežlielumam, kā arī drīkst kumulēt ar citu komercdarbības atbalstu, tai skaitā attiecībā uz vienām un tām pašām attiecināmajām izmaksām, ja netiek pārsniegta attiecīgā maksimālā atbalsta intensitāte vai atbalsta summa, kāda noteikta komercdarbības atbalsta programmā, ad-hoc lēmumā vai Eiropas Komisijas lēmumā. De minimis atbalstu ar citu de minimis atbalstu par vienām un tām pašām izmaksām var apvienot, ja pēc atbalstu apvienošanas atbalsta vienībai vai izmaksu pozīcijai attiecīgā maksimālā atbalsta intensitāte nepārsniedz 100%. Ja par vienām un tām pašām projekta attiecināmajām izmaksām tiek piešķirts atbalsts vairāku komercdarbības atbalsta programmu ietvaros, atbalsta saņēmējs iesniedz informāciju par plānoto un piešķirto atbalstu, tai skaitā par tām pašām attiecināmajām izmaksām, norādot atbalsta piešķiršanas datumu (tai skaitā plānoto atbalsta piešķiršanas datumu), atbalsta intensitāti, atbalsta sniedzēju, atbalsta pasākumu vai investīciju un plānoto vai piešķirto atbalsta summu.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Kerolaina Pastare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24-TA-111</w:t>
    </w:r>
    <w:r>
      <w:br/>
    </w:r>
    <w:r w:rsidR="00000000" w:rsidRPr="00000000" w:rsidDel="00000000">
      <w:rPr>
        <w:rtl w:val="0"/>
      </w:rPr>
      <w:t xml:space="preserve">Izdrukāts 10.05.2024. 10.58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24-TA-111</w:t>
    </w:r>
    <w:r>
      <w:br/>
    </w:r>
    <w:r w:rsidR="00000000" w:rsidRPr="00000000" w:rsidDel="00000000">
      <w:rPr>
        <w:rtl w:val="0"/>
      </w:rPr>
      <w:t xml:space="preserve">Izdrukāts 10.05.2024. 10.58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Atzinumi_24-TA-111.docx</dc:title>
</cp:coreProperties>
</file>

<file path=docProps/custom.xml><?xml version="1.0" encoding="utf-8"?>
<Properties xmlns="http://schemas.openxmlformats.org/officeDocument/2006/custom-properties" xmlns:vt="http://schemas.openxmlformats.org/officeDocument/2006/docPropsVTypes"/>
</file>