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projekta 6. sadaļā "Sociālās ekonomikas plāns 2026.-2029. gadam"  katrā no rīcības virzieniem rezultatīvie rādītāji ir norādīti gan kopā ar politikas rezultātiem, gan arī pie konkrētiem pasākumiem, un tas nesniedz nepārprotamu informāciju par visiem izmērāmiem rezultatīvajiem rādītājiem.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rezultatīvo rādītāju dalījumu, precizējot ierakstus.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Šāble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Pārskatīt plāna projekta 5. sadaļas nosaukumu - "Sociālās ekonomikas plāna 2026.–2029. gadam struktūra", jo tajā ir sīki izstrādāti tikai plāna rīcības virzieni.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Turklāt, plāna mērķis ir aprakstīts jau projekta 1. lappusē (daļēji atkārtota informācija) un arī 21. lappusē.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Šāble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12. lappusē pirms vārda "Lursoft" papildināt ar norādi par kapitālsabiedrības veidu - "sabiedrība ar ierobežotu atbildību".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Šāble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Sociālās ekonomikas plāns 2026.–2029.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projektā (11. un 27. lappuse) attiecībā uz šādu ierakstu  - "</w:t>
            </w:r>
            <w:r w:rsidR="00000000" w:rsidRPr="00000000" w:rsidDel="00000000">
              <w:rPr>
                <w:i w:val="1"/>
                <w:rtl w:val="0"/>
              </w:rPr>
              <w:t xml:space="preserve">personas ar invaliditāti vai garīga rakstura traucējumiem</w:t>
            </w:r>
            <w:r w:rsidR="00000000" w:rsidRPr="00000000" w:rsidDel="00000000">
              <w:rPr>
                <w:rtl w:val="0"/>
              </w:rPr>
              <w:t xml:space="preserve">" lietot terminoloģiju atbilstoši Invaliditātes likumā noteiktajam (6. pants).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                                            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Šāble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21.10.2025.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21.10.2025.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