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24-TA-2494: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20. maija noteikumos Nr. 251 "Kārtība, kādā aitu sugas dzīvniekiem veic slimības </w:t>
      </w:r>
      <w:r w:rsidR="00000000" w:rsidRPr="00000000" w:rsidDel="00000000">
        <w:rPr>
          <w:i w:val="1"/>
          <w:rtl w:val="0"/>
        </w:rPr>
        <w:t xml:space="preserve">Maedi-Visna</w:t>
      </w:r>
      <w:r w:rsidR="00000000" w:rsidRPr="00000000" w:rsidDel="00000000">
        <w:rPr>
          <w:rtl w:val="0"/>
        </w:rPr>
        <w:t xml:space="preserve"> uzraudzību, kontroli un apkarošanu"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2014. gada 20. maija noteikumos Nr. 251 "Kārtība, kādā aitu sugas dzīvniekiem veic slimības </w:t>
            </w:r>
            <w:r w:rsidR="00000000" w:rsidRPr="00000000" w:rsidDel="00000000">
              <w:rPr>
                <w:i w:val="1"/>
                <w:rtl w:val="0"/>
              </w:rPr>
              <w:t xml:space="preserve">Maedi-Visna</w:t>
            </w:r>
            <w:r w:rsidR="00000000" w:rsidRPr="00000000" w:rsidDel="00000000">
              <w:rPr>
                <w:rtl w:val="0"/>
              </w:rPr>
              <w:t xml:space="preserve"> uzraudzību, kontroli un apkarošanu"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pārskatīt un precizēt noteikumu projekta 1.9. un 1.11. apakšpunktos piedāvātajos grozījumos norādīto apakšpunktu numerāciju, lai tā nepārklājas ar numerāciju, kas jau norādīta noteikumu projekta 1.8. un 1.10. apakšpunktos.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24-TA-2494</w:t>
    </w:r>
    <w:r>
      <w:br/>
    </w:r>
    <w:r w:rsidR="00000000" w:rsidRPr="00000000" w:rsidDel="00000000">
      <w:rPr>
        <w:rtl w:val="0"/>
      </w:rPr>
      <w:t xml:space="preserve">Izdrukāts 22.11.2024.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24-TA-2494</w:t>
    </w:r>
    <w:r>
      <w:br/>
    </w:r>
    <w:r w:rsidR="00000000" w:rsidRPr="00000000" w:rsidDel="00000000">
      <w:rPr>
        <w:rtl w:val="0"/>
      </w:rPr>
      <w:t xml:space="preserve">Izdrukāts 22.11.2024.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