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1. jūnija noteikumos Nr. 265 "Valsts atbalsta piešķiršanas kārtība meža nozares attīstībai"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47.1. pārskatu par projekta īstenošanu (</w:t>
            </w:r>
            <w:r w:rsidR="00000000" w:rsidRPr="00000000" w:rsidDel="00000000">
              <w:rPr>
                <w:rtl w:val="0"/>
              </w:rPr>
              <w:t xml:space="preserve">4.</w:t>
            </w:r>
            <w:r w:rsidR="00000000" w:rsidRPr="00000000" w:rsidDel="00000000">
              <w:rPr>
                <w:rtl w:val="0"/>
              </w:rPr>
              <w:t xml:space="preserve"> pielikums</w:t>
            </w:r>
            <w:r w:rsidR="00000000" w:rsidRPr="00000000" w:rsidDel="00000000">
              <w:rPr>
                <w:rtl w:val="0"/>
              </w:rPr>
              <w:t xml:space="preserve">) un projekta rezultātus taustāmā vai elektroniskā formā, piemēram, grāmatas, citus izstrādājumus, saites uz publikācijām, sižetiem vai raidierakstiem, maketus, preses izdevumu eksemplārus u. c.;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pārskatu par projekta īstenošanu (4. pielikums) un projekta rezultātus taustāmā vai elektroniskā formā, piemēram, grāmatas, citus izstrādājumus, saites uz publikācijām, sižetiem vai raidierakstiem, maketus, preses izdevumu eksemplārus u. c.;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pārskatu par projekta īstenošanu (4. pielikums) un projekta rezultātus, piemēram, grāmatas, citus izstrādājumus, saites uz publikācijām, sižetiem vai raidierakstiem, maketus, preses izdevumu eksemplārus u. c.;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Kaspars Ivanovs (IZM)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24-TA-86</w:t>
    </w:r>
    <w:r>
      <w:br/>
    </w:r>
    <w:r w:rsidR="00000000" w:rsidRPr="00000000" w:rsidDel="00000000">
      <w:rPr>
        <w:rtl w:val="0"/>
      </w:rPr>
      <w:t xml:space="preserve">Izdrukāts 02.04.2024. 12.14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24-TA-86</w:t>
    </w:r>
    <w:r>
      <w:br/>
    </w:r>
    <w:r w:rsidR="00000000" w:rsidRPr="00000000" w:rsidDel="00000000">
      <w:rPr>
        <w:rtl w:val="0"/>
      </w:rPr>
      <w:t xml:space="preserve">Izdrukāts 02.04.2024. 12.14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