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Reklāmas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 Šā panta otrā daļa neattiecas uz finanšu pakalpojumu jomu. Finanšu pakalpojumu jomā minētās prasības un to piemērošanas kārtību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 Šā panta otrā daļa neattiecas uz finanšu pakalpojumu jomu. Finanšu pakalpojumu jomā minētās prasības un to piemērošanas kārtību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Vispārējs iebildums par Likumprojekta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 ir iepazinusies ar likumprojektu “Grozījumi Reklāmas likumā” (turpmāk – Likumprojekts) un norāda, ka, lai gan tas formāli paredz Reklāmas likuma normu precizēšanu attiecībā uz finanšu pakalpojumu jomu, tā faktiskā ietekme ir būtiski plašāka un skar reklāmas regulējuma struktūru un piemērošanas modeli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Likumprojekts paredz, ka finanšu pakalpojumu reklāmas jomā papildu prasības turpmāk noteiks Latvijas Banka, vienlaikus izslēdzot Ministru kabineta regulējuma piemērošanu šajā jomā . Tas nozīmē ne tikai uzraudzības funkcijas nodošanu, bet arī būtisku normatīvās regulēšanas kompetences pārdali no politiski atbildīgas institūcijas uz neatkarīgu regulatoru.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Šāda pieeja pēc būtības nozīmē, ka Latvijas Bankai tiek deleģēta plaša diskrecija noteikt finanšu pakalpojumu reklāmas saturu, noformējumu un izplatīšanas kārtību, kas tieši ietekmē tirgus dalībnieku komercpraksi un patērētāju informēšanu. Ņemot vērā, ka reklāmas regulējums ir cieši saistīts ar patērētāju uztveri un komercprakses faktisko ietekmi, šādas pilnvaras piešķiršana prasa īpaši rūpīgu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 Šā panta otrā daļa neattiecas uz finanšu pakalpojumu jomu. Finanšu pakalpojumu jomā minētās prasības un to piemērošanas kārtību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konstatē, ka Likumprojekta anotācijā ietvertais izvērtējums būtiski neatbilst plānotā regulējuma faktiskajai ietekmei. Lai gan anotācijā Likumprojekts tiek pamatots ar nepieciešamību nodrošināt vienotu uzraudzību un mazināt administratīvo slogu, tajā netiek veikts strukturēts izvērtējums par to, kā Latvijas Banka praktiski īstenos reklāmas regulējuma funkciju un normatīvo aktu izdošanu. Īpaši būtiski, ka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veikts prasību un izmaksu samērīguma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analizēta ietekme uz tirgus dalībniekiem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Turklāt anotācijā Likumprojekts tiek kvalificēts kā tehniska rakstura grozījums, kas neatbilst tā faktiskajai ietekmei, jo tiek būtiski mainīts reklāmas regulējuma institucionālais un normatīvais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 Šā panta otrā daļa neattiecas uz finanšu pakalpojumu jomu. Finanšu pakalpojumu jomā minētās prasības un to piemērošanas kārtību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regulējuma nenoteiktību un uzraudzības pieejas ietekmi uz finanšu pakalpojumu reklāmas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Asociācija norāda, ka Likumprojekts, paplašinot Latvijas Bankas kompetenci finanšu pakalpojumu reklāmas uzraudzībā, skar jomu, kurā regulējuma saturs un piemērošanas robežas pašlaik nav pilnībā stabilizētas. Finanšu pakalpojumu reklāmas regulējums pēc savas būtības ir cieši saistīts ar patērētāju uztveres, informācijas saprotamības un komercprakses faktiskās ietekmes izvērtēšanu, kas tradicionāli ir attīstīts patērētāju tiesību aizsardzības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Vienlaikus Latvijas Bankas uzraudzības modelis primāri balstās uz prudenciālās uzraudzības principiem, kas vērsti uz risku identificēšanu, normatīvās atbilstības kontroli un finanšu stabilitātes nodrošināšanu. Šāda pieeja pēc būtības atšķiras no reklāmas un komercprakses izvērtēšanas metodoloģijas, kur centrā ir konkrētā patērētāja uztvere un informācijas faktiskā ietekme uz ekonomisko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Ņemot vērā minēto, pastāv risks, ka pēc institucionālās kompetences nodošanas reklāmas uzraudzībā var dominēt formālāka normatīvās atbilstības pieeja, nepietiekami izvērtējot komercprakses faktisko ietekmi uz patērētāju. Tas var izpausties kā paaugstinātas prasības attiecībā uz reklāmas saturu un formu neatkarīgi no tā, vai konkrētā informācija faktiski maldina patērētāju, kā arī kā konservatīvāka interpretācija attiecībā uz pieļaujamajām komercprakses formām.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Papildus Asociācija vērš uzmanību uz būtisku tiesiskās noteiktības aspektu attiecībā uz finanšu pakalpojumu reklāmas regulējuma attīstību. Šobrīd spēkā esošais regulējums attiecībā uz patērētāju kreditēšanas reklāmu paredz būtiskus ierobežojumus vai aizliegumus, savukārt paralēli likumdošanas procesā tiek izskatīti grozījumi Patērētāju tiesību aizsardzības likumā (Nr. 694/Lp14), kuros vēl nav pieņemts galīgais lēmums par attiecīgā regulējuma turpmāko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Ņemot vērā minēto, Likumprojekts faktiski paredz normatīvās kompetences nodošanu Latvijas Bankai jomā, kuras materiāltiesiskais regulējums vēl nav galīgi noteikts. Tas rada situāciju, kurā institucionālais regulējums tiek veidots pirms ir skaidrs regulējuma saturs, kā arī nav iespējams precīzi identificēt Latvijas Bankas nākotnes kompetences apjomu un robežas konkrētajā jomā. Šāda pieeja neatbilst tiesiskās noteiktības un labas likumdošanas principiem, jo regulējuma institucionālais ietvars tiek veidots atrauti no tā materiāltiesiskā satura. Rezultātā tirgus dalībniekiem nav iespējams saprātīgi prognozēt ne reklāmas regulējuma attīstības virzienu, ne uzraudzības pieeju, kas tiks piemērota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Papildus šāda situācija rada arī praktiskus riskus regulējuma kvalitātei, jo Latvijas Bankai var nākties izstrādāt vai piemērot regulējumu apstākļos, kad likumdevēja politiskais lēmums par attiecīgās jomas pamatprincipiem vēl nav stabilizējies. Tas var novest pie fragmentētas un nepilnīgi koordinētas regulatīvās pieejas, kas negatīvi ietekmē gan patērētāju aizsardzības efektivitāti, gan tirgus dalībnieku spēju nodrošināt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Ievērojot minēto, Asociācija aicina papildināt Likumprojekta anotāciju, nodrošinot skaidru izvērtējumu par finanšu pakalpojumu reklāmas regulējuma attīstību, Latvijas Bankas kompetences robežām šajā jomā un mehānismiem, kas nodrošina saskaņotu un prognozējamu regulatīvo pieeju pēc attiecīgo Patērētāju tiesību aizsardzības likuma grozījumu pieņemšanas.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20.04.2026. 19.18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20.04.2026. 19.18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Atzinumi_26-TA-748.docx</dc:title>
</cp:coreProperties>
</file>

<file path=docProps/custom.xml><?xml version="1.0" encoding="utf-8"?>
<Properties xmlns="http://schemas.openxmlformats.org/officeDocument/2006/custom-properties" xmlns:vt="http://schemas.openxmlformats.org/officeDocument/2006/docPropsVTypes"/>
</file>