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100C" w:rsidRDefault="003C100C" w:rsidP="003C100C">
      <w:pPr>
        <w:rPr>
          <w:rFonts w:eastAsia="Times New Roman"/>
          <w:lang w:val="en-US"/>
        </w:rPr>
      </w:pPr>
      <w:r>
        <w:rPr>
          <w:rFonts w:eastAsia="Times New Roman"/>
          <w:b/>
          <w:bCs/>
          <w:lang w:val="en-US"/>
        </w:rPr>
        <w:t>From:</w:t>
      </w:r>
      <w:r>
        <w:rPr>
          <w:rFonts w:eastAsia="Times New Roman"/>
          <w:lang w:val="en-US"/>
        </w:rPr>
        <w:t xml:space="preserve"> Amanda </w:t>
      </w:r>
      <w:proofErr w:type="spellStart"/>
      <w:r>
        <w:rPr>
          <w:rFonts w:eastAsia="Times New Roman"/>
          <w:lang w:val="en-US"/>
        </w:rPr>
        <w:t>Mūrniece</w:t>
      </w:r>
      <w:proofErr w:type="spellEnd"/>
      <w:r>
        <w:rPr>
          <w:rFonts w:eastAsia="Times New Roman"/>
          <w:lang w:val="en-US"/>
        </w:rPr>
        <w:t xml:space="preserve"> &lt;Amanda.Murniece@tm.gov.lv&gt; </w:t>
      </w:r>
      <w:r>
        <w:rPr>
          <w:rFonts w:eastAsia="Times New Roman"/>
          <w:lang w:val="en-US"/>
        </w:rPr>
        <w:br/>
      </w:r>
      <w:r>
        <w:rPr>
          <w:rFonts w:eastAsia="Times New Roman"/>
          <w:b/>
          <w:bCs/>
          <w:lang w:val="en-US"/>
        </w:rPr>
        <w:t>Sent:</w:t>
      </w:r>
      <w:r>
        <w:rPr>
          <w:rFonts w:eastAsia="Times New Roman"/>
          <w:lang w:val="en-US"/>
        </w:rPr>
        <w:t xml:space="preserve"> Friday, May 21, 2021 7:22 PM</w:t>
      </w:r>
      <w:r>
        <w:rPr>
          <w:rFonts w:eastAsia="Times New Roman"/>
          <w:lang w:val="en-US"/>
        </w:rPr>
        <w:br/>
      </w:r>
      <w:r>
        <w:rPr>
          <w:rFonts w:eastAsia="Times New Roman"/>
          <w:b/>
          <w:bCs/>
          <w:lang w:val="en-US"/>
        </w:rPr>
        <w:t>To:</w:t>
      </w:r>
      <w:r>
        <w:rPr>
          <w:rFonts w:eastAsia="Times New Roman"/>
          <w:lang w:val="en-US"/>
        </w:rPr>
        <w:t xml:space="preserve"> Pasts &lt;Pasts@em.gov.lv&gt;</w:t>
      </w:r>
      <w:r>
        <w:rPr>
          <w:rFonts w:eastAsia="Times New Roman"/>
          <w:lang w:val="en-US"/>
        </w:rPr>
        <w:br/>
      </w:r>
      <w:r>
        <w:rPr>
          <w:rFonts w:eastAsia="Times New Roman"/>
          <w:b/>
          <w:bCs/>
          <w:lang w:val="en-US"/>
        </w:rPr>
        <w:t>Cc:</w:t>
      </w:r>
      <w:r>
        <w:rPr>
          <w:rFonts w:eastAsia="Times New Roman"/>
          <w:lang w:val="en-US"/>
        </w:rPr>
        <w:t xml:space="preserve"> Evita Kudure-Ševčuka &lt;Evita.Kudure-Sevcuka@em.gov.lv&gt;</w:t>
      </w:r>
      <w:r>
        <w:rPr>
          <w:rFonts w:eastAsia="Times New Roman"/>
          <w:lang w:val="en-US"/>
        </w:rPr>
        <w:br/>
      </w:r>
      <w:r>
        <w:rPr>
          <w:rFonts w:eastAsia="Times New Roman"/>
          <w:b/>
          <w:bCs/>
          <w:lang w:val="en-US"/>
        </w:rPr>
        <w:t>Subject:</w:t>
      </w:r>
      <w:r>
        <w:rPr>
          <w:rFonts w:eastAsia="Times New Roman"/>
          <w:lang w:val="en-US"/>
        </w:rPr>
        <w:t xml:space="preserve"> </w:t>
      </w:r>
      <w:proofErr w:type="spellStart"/>
      <w:r>
        <w:rPr>
          <w:rFonts w:eastAsia="Times New Roman"/>
          <w:lang w:val="en-US"/>
        </w:rPr>
        <w:t>Atb</w:t>
      </w:r>
      <w:proofErr w:type="spellEnd"/>
      <w:r>
        <w:rPr>
          <w:rFonts w:eastAsia="Times New Roman"/>
          <w:lang w:val="en-US"/>
        </w:rPr>
        <w:t xml:space="preserve">.: </w:t>
      </w:r>
      <w:proofErr w:type="spellStart"/>
      <w:r>
        <w:rPr>
          <w:rFonts w:eastAsia="Times New Roman"/>
          <w:lang w:val="en-US"/>
        </w:rPr>
        <w:t>Elektroniskā</w:t>
      </w:r>
      <w:proofErr w:type="spellEnd"/>
      <w:r>
        <w:rPr>
          <w:rFonts w:eastAsia="Times New Roman"/>
          <w:lang w:val="en-US"/>
        </w:rPr>
        <w:t xml:space="preserve"> 5 </w:t>
      </w:r>
      <w:proofErr w:type="spellStart"/>
      <w:r>
        <w:rPr>
          <w:rFonts w:eastAsia="Times New Roman"/>
          <w:lang w:val="en-US"/>
        </w:rPr>
        <w:t>dienu</w:t>
      </w:r>
      <w:proofErr w:type="spellEnd"/>
      <w:r>
        <w:rPr>
          <w:rFonts w:eastAsia="Times New Roman"/>
          <w:lang w:val="en-US"/>
        </w:rPr>
        <w:t xml:space="preserve"> </w:t>
      </w:r>
      <w:proofErr w:type="spellStart"/>
      <w:r>
        <w:rPr>
          <w:rFonts w:eastAsia="Times New Roman"/>
          <w:lang w:val="en-US"/>
        </w:rPr>
        <w:t>skaņošana</w:t>
      </w:r>
      <w:proofErr w:type="spellEnd"/>
      <w:r>
        <w:rPr>
          <w:rFonts w:eastAsia="Times New Roman"/>
          <w:lang w:val="en-US"/>
        </w:rPr>
        <w:t xml:space="preserve"> par </w:t>
      </w:r>
      <w:proofErr w:type="spellStart"/>
      <w:r>
        <w:rPr>
          <w:rFonts w:eastAsia="Times New Roman"/>
          <w:lang w:val="en-US"/>
        </w:rPr>
        <w:t>likumprojektu</w:t>
      </w:r>
      <w:proofErr w:type="spellEnd"/>
      <w:r>
        <w:rPr>
          <w:rFonts w:eastAsia="Times New Roman"/>
          <w:lang w:val="en-US"/>
        </w:rPr>
        <w:t xml:space="preserve"> “</w:t>
      </w:r>
      <w:proofErr w:type="spellStart"/>
      <w:r>
        <w:rPr>
          <w:rFonts w:eastAsia="Times New Roman"/>
          <w:lang w:val="en-US"/>
        </w:rPr>
        <w:t>Grozījumi</w:t>
      </w:r>
      <w:proofErr w:type="spellEnd"/>
      <w:r>
        <w:rPr>
          <w:rFonts w:eastAsia="Times New Roman"/>
          <w:lang w:val="en-US"/>
        </w:rPr>
        <w:t xml:space="preserve"> </w:t>
      </w:r>
      <w:proofErr w:type="spellStart"/>
      <w:r>
        <w:rPr>
          <w:rFonts w:eastAsia="Times New Roman"/>
          <w:lang w:val="en-US"/>
        </w:rPr>
        <w:t>Patērētāju</w:t>
      </w:r>
      <w:proofErr w:type="spellEnd"/>
      <w:r>
        <w:rPr>
          <w:rFonts w:eastAsia="Times New Roman"/>
          <w:lang w:val="en-US"/>
        </w:rPr>
        <w:t xml:space="preserve"> </w:t>
      </w:r>
      <w:proofErr w:type="spellStart"/>
      <w:r>
        <w:rPr>
          <w:rFonts w:eastAsia="Times New Roman"/>
          <w:lang w:val="en-US"/>
        </w:rPr>
        <w:t>tiesību</w:t>
      </w:r>
      <w:proofErr w:type="spellEnd"/>
      <w:r>
        <w:rPr>
          <w:rFonts w:eastAsia="Times New Roman"/>
          <w:lang w:val="en-US"/>
        </w:rPr>
        <w:t xml:space="preserve"> </w:t>
      </w:r>
      <w:proofErr w:type="spellStart"/>
      <w:r>
        <w:rPr>
          <w:rFonts w:eastAsia="Times New Roman"/>
          <w:lang w:val="en-US"/>
        </w:rPr>
        <w:t>aizsardzības</w:t>
      </w:r>
      <w:proofErr w:type="spellEnd"/>
      <w:r>
        <w:rPr>
          <w:rFonts w:eastAsia="Times New Roman"/>
          <w:lang w:val="en-US"/>
        </w:rPr>
        <w:t xml:space="preserve"> </w:t>
      </w:r>
      <w:proofErr w:type="spellStart"/>
      <w:r>
        <w:rPr>
          <w:rFonts w:eastAsia="Times New Roman"/>
          <w:lang w:val="en-US"/>
        </w:rPr>
        <w:t>likumā</w:t>
      </w:r>
      <w:proofErr w:type="spellEnd"/>
      <w:r>
        <w:rPr>
          <w:rFonts w:eastAsia="Times New Roman"/>
          <w:lang w:val="en-US"/>
        </w:rPr>
        <w:t>” (VSS-1064)</w:t>
      </w:r>
    </w:p>
    <w:p w:rsidR="003C100C" w:rsidRDefault="003C100C" w:rsidP="003C100C">
      <w:pPr>
        <w:jc w:val="both"/>
      </w:pPr>
    </w:p>
    <w:p w:rsidR="003C100C" w:rsidRDefault="003C100C" w:rsidP="003C100C">
      <w:pPr>
        <w:pStyle w:val="NormalWeb"/>
        <w:shd w:val="clear" w:color="auto" w:fill="D5EAFF"/>
        <w:spacing w:line="200" w:lineRule="atLeast"/>
        <w:jc w:val="both"/>
        <w:rPr>
          <w:color w:val="000000"/>
          <w:sz w:val="24"/>
          <w:szCs w:val="24"/>
        </w:rPr>
      </w:pPr>
      <w:r>
        <w:rPr>
          <w:color w:val="000000"/>
          <w:sz w:val="24"/>
          <w:szCs w:val="24"/>
        </w:rPr>
        <w:t>INFORMĀCIJAI: E-pasta vēstules sūtītājs ir ārējais adresāts.</w:t>
      </w:r>
    </w:p>
    <w:p w:rsidR="003C100C" w:rsidRDefault="003C100C" w:rsidP="003C100C">
      <w:pPr>
        <w:jc w:val="both"/>
        <w:rPr>
          <w:rFonts w:eastAsia="Times New Roman"/>
          <w:color w:val="000000"/>
          <w:sz w:val="24"/>
          <w:szCs w:val="24"/>
        </w:rPr>
      </w:pPr>
      <w:r>
        <w:rPr>
          <w:rFonts w:eastAsia="Times New Roman"/>
          <w:color w:val="000000"/>
          <w:sz w:val="24"/>
          <w:szCs w:val="24"/>
        </w:rPr>
        <w:t>Labdien,</w:t>
      </w:r>
    </w:p>
    <w:p w:rsidR="003C100C" w:rsidRDefault="003C100C" w:rsidP="003C100C">
      <w:pPr>
        <w:jc w:val="both"/>
        <w:rPr>
          <w:rFonts w:eastAsia="Times New Roman"/>
          <w:color w:val="000000"/>
          <w:sz w:val="24"/>
          <w:szCs w:val="24"/>
        </w:rPr>
      </w:pPr>
    </w:p>
    <w:p w:rsidR="003C100C" w:rsidRDefault="003C100C" w:rsidP="003C100C">
      <w:pPr>
        <w:jc w:val="both"/>
        <w:rPr>
          <w:rFonts w:eastAsia="Times New Roman"/>
          <w:color w:val="000000"/>
          <w:sz w:val="24"/>
          <w:szCs w:val="24"/>
        </w:rPr>
      </w:pPr>
      <w:r>
        <w:rPr>
          <w:rFonts w:eastAsia="Times New Roman"/>
          <w:color w:val="000000"/>
          <w:sz w:val="24"/>
          <w:szCs w:val="24"/>
        </w:rPr>
        <w:t xml:space="preserve">Tieslietu ministrija ir izskatījusi Ekonomikas ministrijas precizēto likumprojektu “Grozījumi Patērētāju tiesību aizsardzības likumā” (turpmāk - projekts) un atbalsta tā virzību, izsakot šādus </w:t>
      </w:r>
      <w:r>
        <w:rPr>
          <w:rFonts w:eastAsia="Times New Roman"/>
          <w:b/>
          <w:bCs/>
          <w:color w:val="000000"/>
          <w:sz w:val="24"/>
          <w:szCs w:val="24"/>
        </w:rPr>
        <w:t>iebildumus</w:t>
      </w:r>
      <w:r>
        <w:rPr>
          <w:rFonts w:eastAsia="Times New Roman"/>
          <w:color w:val="000000"/>
          <w:sz w:val="24"/>
          <w:szCs w:val="24"/>
        </w:rPr>
        <w:t>:</w:t>
      </w:r>
    </w:p>
    <w:p w:rsidR="003C100C" w:rsidRDefault="003C100C" w:rsidP="003C100C">
      <w:pPr>
        <w:jc w:val="both"/>
        <w:rPr>
          <w:rFonts w:eastAsia="Times New Roman"/>
          <w:color w:val="000000"/>
          <w:sz w:val="24"/>
          <w:szCs w:val="24"/>
        </w:rPr>
      </w:pPr>
    </w:p>
    <w:p w:rsidR="003C100C" w:rsidRDefault="003C100C" w:rsidP="003C100C">
      <w:pPr>
        <w:jc w:val="both"/>
        <w:rPr>
          <w:rFonts w:eastAsia="Times New Roman"/>
          <w:color w:val="000000"/>
          <w:sz w:val="24"/>
          <w:szCs w:val="24"/>
        </w:rPr>
      </w:pPr>
      <w:r>
        <w:rPr>
          <w:rFonts w:eastAsia="Times New Roman"/>
          <w:color w:val="000000"/>
          <w:sz w:val="24"/>
          <w:szCs w:val="24"/>
          <w:shd w:val="clear" w:color="auto" w:fill="FFFFFF"/>
        </w:rPr>
        <w:t>1. </w:t>
      </w:r>
      <w:r>
        <w:rPr>
          <w:rFonts w:eastAsia="Times New Roman"/>
          <w:color w:val="000000"/>
          <w:sz w:val="24"/>
          <w:szCs w:val="24"/>
        </w:rPr>
        <w:t xml:space="preserve">Projekta 1. pants paredz PTAL papildināt ar jaunu terminu "ilgizturība" –  "preču spēja saglabāt vajadzīgās funkcijas un izpildījumu </w:t>
      </w:r>
      <w:r>
        <w:rPr>
          <w:rFonts w:eastAsia="Times New Roman"/>
          <w:color w:val="000000"/>
          <w:sz w:val="24"/>
          <w:szCs w:val="24"/>
          <w:u w:val="single"/>
        </w:rPr>
        <w:t>normālas lietošanas</w:t>
      </w:r>
      <w:r>
        <w:rPr>
          <w:rFonts w:eastAsia="Times New Roman"/>
          <w:color w:val="000000"/>
          <w:sz w:val="24"/>
          <w:szCs w:val="24"/>
        </w:rPr>
        <w:t> periodā."  Savukārt projekta 13. pantā izteiktā 28. panta 13. daļa paredz: "Patērētājam nav jāmaksā par nomainīto preču </w:t>
      </w:r>
      <w:r>
        <w:rPr>
          <w:rFonts w:eastAsia="Times New Roman"/>
          <w:color w:val="000000"/>
          <w:sz w:val="24"/>
          <w:szCs w:val="24"/>
          <w:u w:val="single"/>
        </w:rPr>
        <w:t>normālu lietošanu</w:t>
      </w:r>
      <w:r>
        <w:rPr>
          <w:rFonts w:eastAsia="Times New Roman"/>
          <w:color w:val="000000"/>
          <w:sz w:val="24"/>
          <w:szCs w:val="24"/>
        </w:rPr>
        <w:t> laikposmā pirms to nomaiņas.”</w:t>
      </w:r>
    </w:p>
    <w:p w:rsidR="003C100C" w:rsidRDefault="003C100C" w:rsidP="003C100C">
      <w:pPr>
        <w:pStyle w:val="CommentText"/>
        <w:shd w:val="clear" w:color="auto" w:fill="FFFFFF"/>
        <w:jc w:val="both"/>
        <w:rPr>
          <w:sz w:val="20"/>
          <w:szCs w:val="20"/>
        </w:rPr>
      </w:pPr>
      <w:r>
        <w:rPr>
          <w:color w:val="000000"/>
          <w:sz w:val="24"/>
          <w:szCs w:val="24"/>
        </w:rPr>
        <w:t xml:space="preserve">Tādējādi projekts paredz PTAL iekļaut jaunu jēdzienu "normāla lietošana". Lūdzam izvērtēt iespēju tiesiskās skaidrības nolūkā projektā iekļaut </w:t>
      </w:r>
      <w:r>
        <w:t>skaidrojumu, kas ir uzskatāma par preces "normālu lietošanu," ņemot vērā </w:t>
      </w:r>
      <w:r>
        <w:rPr>
          <w:shd w:val="clear" w:color="auto" w:fill="FFFFFF"/>
        </w:rPr>
        <w:t>Direktīvas 2019/771 preambulā skaidroto.</w:t>
      </w:r>
    </w:p>
    <w:p w:rsidR="003C100C" w:rsidRDefault="003C100C" w:rsidP="003C100C">
      <w:pPr>
        <w:pStyle w:val="CommentText"/>
        <w:shd w:val="clear" w:color="auto" w:fill="FFFFFF"/>
        <w:jc w:val="both"/>
      </w:pPr>
      <w:r>
        <w:rPr>
          <w:color w:val="000000"/>
          <w:sz w:val="24"/>
          <w:szCs w:val="24"/>
          <w:shd w:val="clear" w:color="auto" w:fill="FFFFFF"/>
        </w:rPr>
        <w:br/>
      </w:r>
    </w:p>
    <w:p w:rsidR="003C100C" w:rsidRDefault="003C100C" w:rsidP="003C100C">
      <w:pPr>
        <w:pStyle w:val="CommentText"/>
        <w:shd w:val="clear" w:color="auto" w:fill="FFFFFF"/>
        <w:jc w:val="both"/>
        <w:rPr>
          <w:rFonts w:ascii="Segoe UI" w:hAnsi="Segoe UI" w:cs="Segoe UI"/>
          <w:sz w:val="20"/>
          <w:szCs w:val="20"/>
        </w:rPr>
      </w:pPr>
      <w:r>
        <w:rPr>
          <w:color w:val="000000"/>
          <w:sz w:val="24"/>
          <w:szCs w:val="24"/>
        </w:rPr>
        <w:t>Direktīvas 2019/771 preambulas 57. apsvērumā skaidrots: "Gadījumos, kad pārdevējs panāk preces atbilstību ar nomaiņas palīdzību, patērētājam nevajadzētu būt pienākumam maksāt par preču parasto izmantošanu pirms to nomaiņas. </w:t>
      </w:r>
      <w:r>
        <w:rPr>
          <w:color w:val="000000"/>
          <w:sz w:val="24"/>
          <w:szCs w:val="24"/>
          <w:u w:val="single"/>
        </w:rPr>
        <w:t>Preču izmantošana būtu uzskatāma par parastu, ja tā atbilst preču veidam un nolūkam, kādam tās ir paredzētas</w:t>
      </w:r>
      <w:r>
        <w:rPr>
          <w:color w:val="000000"/>
          <w:sz w:val="24"/>
          <w:szCs w:val="24"/>
        </w:rPr>
        <w:t>."</w:t>
      </w:r>
    </w:p>
    <w:p w:rsidR="003C100C" w:rsidRDefault="003C100C" w:rsidP="003C100C">
      <w:pPr>
        <w:pStyle w:val="CommentText"/>
        <w:shd w:val="clear" w:color="auto" w:fill="FFFFFF"/>
        <w:jc w:val="both"/>
        <w:rPr>
          <w:rFonts w:ascii="Segoe UI" w:hAnsi="Segoe UI" w:cs="Segoe UI"/>
          <w:sz w:val="20"/>
          <w:szCs w:val="20"/>
        </w:rPr>
      </w:pPr>
      <w:r>
        <w:rPr>
          <w:color w:val="000000"/>
          <w:sz w:val="24"/>
          <w:szCs w:val="24"/>
        </w:rPr>
        <w:t> </w:t>
      </w:r>
    </w:p>
    <w:p w:rsidR="003C100C" w:rsidRDefault="003C100C" w:rsidP="003C100C">
      <w:pPr>
        <w:jc w:val="both"/>
        <w:rPr>
          <w:rFonts w:eastAsia="Times New Roman"/>
          <w:color w:val="000000"/>
          <w:sz w:val="24"/>
          <w:szCs w:val="24"/>
        </w:rPr>
      </w:pPr>
      <w:r>
        <w:rPr>
          <w:rFonts w:eastAsia="Times New Roman"/>
          <w:color w:val="000000"/>
          <w:sz w:val="24"/>
          <w:szCs w:val="24"/>
          <w:shd w:val="clear" w:color="auto" w:fill="FFFFFF"/>
        </w:rPr>
        <w:t>2. Lūdzam izvērtēt nepieciešamību precizēt projekta 2. pantā izteikto </w:t>
      </w:r>
    </w:p>
    <w:p w:rsidR="003C100C" w:rsidRDefault="003C100C" w:rsidP="003C100C">
      <w:pPr>
        <w:jc w:val="both"/>
        <w:rPr>
          <w:rFonts w:eastAsia="Times New Roman"/>
        </w:rPr>
      </w:pPr>
      <w:r>
        <w:rPr>
          <w:rFonts w:eastAsia="Times New Roman"/>
          <w:color w:val="000000"/>
          <w:sz w:val="24"/>
          <w:szCs w:val="24"/>
          <w:shd w:val="clear" w:color="auto" w:fill="FFFFFF"/>
        </w:rPr>
        <w:t>2.</w:t>
      </w:r>
      <w:r>
        <w:rPr>
          <w:rFonts w:eastAsia="Times New Roman"/>
          <w:color w:val="000000"/>
          <w:sz w:val="20"/>
          <w:szCs w:val="20"/>
          <w:shd w:val="clear" w:color="auto" w:fill="FFFFFF"/>
          <w:vertAlign w:val="superscript"/>
        </w:rPr>
        <w:t>1</w:t>
      </w:r>
      <w:r>
        <w:rPr>
          <w:rFonts w:eastAsia="Times New Roman"/>
          <w:color w:val="000000"/>
          <w:sz w:val="24"/>
          <w:szCs w:val="24"/>
          <w:shd w:val="clear" w:color="auto" w:fill="FFFFFF"/>
        </w:rPr>
        <w:t xml:space="preserve"> panta ceturto daļu, papildinot to, piemēram, ar vārdu "tam" pirms vārdiem "normatīvos aktos noteiktās prasības", ņemot vērā Direktīvas </w:t>
      </w:r>
    </w:p>
    <w:p w:rsidR="003C100C" w:rsidRDefault="003C100C" w:rsidP="003C100C">
      <w:pPr>
        <w:pStyle w:val="CommentText"/>
        <w:jc w:val="both"/>
        <w:rPr>
          <w:rFonts w:ascii="Times New Roman" w:hAnsi="Times New Roman" w:cs="Times New Roman"/>
          <w:color w:val="000000"/>
          <w:sz w:val="20"/>
          <w:szCs w:val="20"/>
        </w:rPr>
      </w:pPr>
      <w:r>
        <w:rPr>
          <w:color w:val="000000"/>
          <w:sz w:val="24"/>
          <w:szCs w:val="24"/>
          <w:shd w:val="clear" w:color="auto" w:fill="FFFFFF"/>
        </w:rPr>
        <w:t>Direktīvas</w:t>
      </w:r>
      <w:r>
        <w:rPr>
          <w:rStyle w:val="apple-converted-space"/>
          <w:color w:val="000000"/>
          <w:sz w:val="24"/>
          <w:szCs w:val="24"/>
          <w:shd w:val="clear" w:color="auto" w:fill="FFFFFF"/>
        </w:rPr>
        <w:t> </w:t>
      </w:r>
      <w:r>
        <w:rPr>
          <w:color w:val="000000"/>
          <w:sz w:val="24"/>
          <w:szCs w:val="24"/>
          <w:shd w:val="clear" w:color="auto" w:fill="FFFFFF"/>
        </w:rPr>
        <w:t>2019/770</w:t>
      </w:r>
      <w:r>
        <w:rPr>
          <w:rStyle w:val="apple-converted-space"/>
          <w:color w:val="000000"/>
          <w:sz w:val="24"/>
          <w:szCs w:val="24"/>
          <w:shd w:val="clear" w:color="auto" w:fill="FFFFFF"/>
        </w:rPr>
        <w:t> </w:t>
      </w:r>
      <w:r>
        <w:rPr>
          <w:color w:val="000000"/>
          <w:sz w:val="24"/>
          <w:szCs w:val="24"/>
          <w:shd w:val="clear" w:color="auto" w:fill="FFFFFF"/>
        </w:rPr>
        <w:t xml:space="preserve">3.panta 1. punktā noteikto, ka "šo direktīvu piemēro arī gadījumos, kad tirgotājs piegādā vai apņemas piegādāt patērētājam digitālo saturu vai digitālo pakalpojumu un patērētājs sniedz vai apņemas sniegt tirgotājam personas datus, izņemot tad, ja patērētāja sniegtos personas datus tirgotājs apstrādā tikai, lai piegādātu digitālo saturu vai digitālo pakalpojumu saskaņā ar šo direktīvu vai </w:t>
      </w:r>
      <w:r>
        <w:rPr>
          <w:color w:val="000000"/>
          <w:sz w:val="24"/>
          <w:szCs w:val="24"/>
          <w:u w:val="single"/>
          <w:shd w:val="clear" w:color="auto" w:fill="FFFFFF"/>
        </w:rPr>
        <w:t>lai tirgotājs varētu izpildīt juridiskās prasības, kuras attiecas uz tirgotāju</w:t>
      </w:r>
      <w:r>
        <w:rPr>
          <w:color w:val="000000"/>
          <w:sz w:val="24"/>
          <w:szCs w:val="24"/>
          <w:shd w:val="clear" w:color="auto" w:fill="FFFFFF"/>
        </w:rPr>
        <w:t>, un ja tirgotājs minētos datus neapstrādā nekādos citos nolūkos".</w:t>
      </w:r>
    </w:p>
    <w:p w:rsidR="003C100C" w:rsidRDefault="003C100C" w:rsidP="003C100C">
      <w:pPr>
        <w:pStyle w:val="CommentText"/>
        <w:jc w:val="both"/>
        <w:rPr>
          <w:rFonts w:ascii="Times New Roman" w:hAnsi="Times New Roman" w:cs="Times New Roman"/>
          <w:color w:val="000000"/>
          <w:sz w:val="20"/>
          <w:szCs w:val="20"/>
        </w:rPr>
      </w:pPr>
    </w:p>
    <w:p w:rsidR="003C100C" w:rsidRDefault="003C100C" w:rsidP="003C100C">
      <w:pPr>
        <w:pStyle w:val="CommentText"/>
        <w:jc w:val="both"/>
        <w:rPr>
          <w:rFonts w:ascii="Times New Roman" w:hAnsi="Times New Roman" w:cs="Times New Roman"/>
          <w:color w:val="000000"/>
          <w:sz w:val="20"/>
          <w:szCs w:val="20"/>
        </w:rPr>
      </w:pPr>
      <w:r>
        <w:rPr>
          <w:color w:val="000000"/>
          <w:sz w:val="24"/>
          <w:szCs w:val="24"/>
          <w:shd w:val="clear" w:color="auto" w:fill="FFFFFF"/>
        </w:rPr>
        <w:t xml:space="preserve">Vienlaikus lūdzam </w:t>
      </w:r>
      <w:r>
        <w:rPr>
          <w:color w:val="000000"/>
          <w:sz w:val="24"/>
          <w:szCs w:val="24"/>
          <w:u w:val="single"/>
          <w:shd w:val="clear" w:color="auto" w:fill="FFFFFF"/>
        </w:rPr>
        <w:t>precizēt un papildināt</w:t>
      </w:r>
      <w:r>
        <w:rPr>
          <w:color w:val="000000"/>
          <w:sz w:val="24"/>
          <w:szCs w:val="24"/>
          <w:shd w:val="clear" w:color="auto" w:fill="FFFFFF"/>
        </w:rPr>
        <w:t xml:space="preserve"> projekta anotācijas 3.lpp. ar skaidrojumu par gadījumiem, kad nepiemēro projektu, ņemot vērā </w:t>
      </w:r>
      <w:r>
        <w:rPr>
          <w:color w:val="000000"/>
          <w:sz w:val="24"/>
          <w:szCs w:val="24"/>
        </w:rPr>
        <w:t xml:space="preserve">Direktīvas  2019/770 25. apsvērumā norādīto: "Ja digitālo saturu nepiegādā un digitālos pakalpojumus nesniedz pret cenas samaksu, šī direktīva nebūtu jāpiemēro situācijās, kad tirgotājs vāc personas datus tikai un vienīgi, lai piegādātu digitālo saturu vai digitālo pakalpojumu, vai vienīgi ar nolūku izpildīt juridiskās prasības. Šādas situācijas var būt, piemēram, gadījumi, kad patērētāja reģistrēšanās drošības un identificēšanas nolūkos ir prasīta </w:t>
      </w:r>
      <w:r>
        <w:rPr>
          <w:color w:val="000000"/>
          <w:sz w:val="24"/>
          <w:szCs w:val="24"/>
        </w:rPr>
        <w:lastRenderedPageBreak/>
        <w:t>piemērojamos tiesību aktos. Šī direktīva nebūtu jāpiemēro arī situācijās, kurās tirgotājs vāc tikai metadatus, piemēram, informāciju par patērētāja ierīci vai pārlūkošanas vēsturi, izņemot, ja šādu situāciju uzskata par līgumu saskaņā ar valsts tiesību aktiem. Tā nebūtu jāpiemēro arī situācijās, kad patērētājs, kas nav noslēdzis līgumu ar tirgotāju, ir pakļauts reklāmām tikai un vienīgi, lai piekļ</w:t>
      </w:r>
      <w:r>
        <w:rPr>
          <w:color w:val="000000"/>
          <w:sz w:val="24"/>
          <w:szCs w:val="24"/>
          <w:shd w:val="clear" w:color="auto" w:fill="FFFFFF"/>
        </w:rPr>
        <w:t>ūtu digitālajam saturam vai digitālajam pakalpojumam. Tomēr dalībvalstīm būtu jāsaglabā rīcības brīvība paplašināt šīs direktīvas piemērošanu, attiecinot to arī uz tādām situācijām, vai citādi reglamentēt tādas situācijas, kuras nav ietvertas šīs direktīvas darbības jomā."</w:t>
      </w:r>
    </w:p>
    <w:p w:rsidR="003C100C" w:rsidRDefault="003C100C" w:rsidP="003C100C">
      <w:pPr>
        <w:pStyle w:val="CommentText"/>
        <w:jc w:val="both"/>
        <w:rPr>
          <w:rFonts w:ascii="Times New Roman" w:hAnsi="Times New Roman" w:cs="Times New Roman"/>
          <w:color w:val="000000"/>
          <w:sz w:val="20"/>
          <w:szCs w:val="20"/>
        </w:rPr>
      </w:pPr>
    </w:p>
    <w:p w:rsidR="003C100C" w:rsidRDefault="003C100C" w:rsidP="003C100C">
      <w:pPr>
        <w:pStyle w:val="CommentText"/>
        <w:jc w:val="both"/>
        <w:rPr>
          <w:rFonts w:ascii="Times New Roman" w:hAnsi="Times New Roman" w:cs="Times New Roman"/>
          <w:color w:val="000000"/>
          <w:sz w:val="20"/>
          <w:szCs w:val="20"/>
        </w:rPr>
      </w:pPr>
      <w:r>
        <w:rPr>
          <w:color w:val="000000"/>
          <w:sz w:val="24"/>
          <w:szCs w:val="24"/>
          <w:shd w:val="clear" w:color="auto" w:fill="FFFFFF"/>
        </w:rPr>
        <w:t>3. Aicinām izvērtēt nepieciešamību precizēt projekta 7. pantā izteiktās 14. panta pirmās daļas 8. punktu, izvērtējot iespēju papildināt minēto punktu aiz vārdiem "</w:t>
      </w:r>
      <w:r>
        <w:rPr>
          <w:color w:val="000000"/>
          <w:sz w:val="24"/>
          <w:szCs w:val="24"/>
        </w:rPr>
        <w:t>preces raksturu" ar vārdu "cenu". </w:t>
      </w:r>
    </w:p>
    <w:p w:rsidR="003C100C" w:rsidRDefault="003C100C" w:rsidP="003C100C">
      <w:pPr>
        <w:jc w:val="both"/>
        <w:rPr>
          <w:rFonts w:eastAsia="Times New Roman"/>
        </w:rPr>
      </w:pPr>
      <w:r>
        <w:rPr>
          <w:rFonts w:eastAsia="Times New Roman"/>
          <w:color w:val="000000"/>
          <w:sz w:val="24"/>
          <w:szCs w:val="24"/>
          <w:shd w:val="clear" w:color="auto" w:fill="FFFFFF"/>
        </w:rPr>
        <w:t>Direktīvas 2019/771 preambulas 32. punktā cita starpā attiecībā uz ilgizturību norādīts: "Tādēļ ar šo direktīvu būtu jāpapildina mērķi, kurus īsteno ar šādiem Savienības tiesību aktiem, kas piemērojami konkrētiem produktiem, un tai būtu jāietver ilgizturība kā objektīvs kritērijs preču atbilstības novērtēšanai.</w:t>
      </w:r>
      <w:r>
        <w:rPr>
          <w:rStyle w:val="apple-converted-space"/>
          <w:rFonts w:eastAsia="Times New Roman"/>
          <w:color w:val="000000"/>
          <w:sz w:val="24"/>
          <w:szCs w:val="24"/>
          <w:shd w:val="clear" w:color="auto" w:fill="FFFFFF"/>
        </w:rPr>
        <w:t> </w:t>
      </w:r>
      <w:r>
        <w:rPr>
          <w:rFonts w:eastAsia="Times New Roman"/>
          <w:color w:val="000000"/>
          <w:sz w:val="24"/>
          <w:szCs w:val="24"/>
        </w:rPr>
        <w:t xml:space="preserve">Šajā direktīvā ilgizturība būtu jāattiecina uz preču spēju saglabāt savas vajadzīgās funkcijas un sniegumu parastas lietošanas gaitā. Lai preces būtu atbilstīgas, tām vajadzētu piemist ilgizturībai, kāda parasti piemīt tāda paša veida precēm un kādu patērētājs var pamatoti sagaidīt, ņemot vērā konkrēto preču veidu, tostarp iespējamu nepieciešamību pēc pamatotas preču uzturēšanas, piemēram, regulāras pārbaudes vai automašīnas filtru maiņas, un jebkādu publisku paziņojumu, ko sniegusi jebkura persona, kas ir posms darījumu ķēdē, vai kas sniegts tās vārdā. Novērtēšanā būtu jāņem vērā arī visi citi attiecīgie apstākļi, tādi kā </w:t>
      </w:r>
      <w:r>
        <w:rPr>
          <w:rFonts w:eastAsia="Times New Roman"/>
          <w:color w:val="000000"/>
          <w:sz w:val="24"/>
          <w:szCs w:val="24"/>
          <w:u w:val="single"/>
        </w:rPr>
        <w:t>preču cena</w:t>
      </w:r>
      <w:r>
        <w:rPr>
          <w:rFonts w:eastAsia="Times New Roman"/>
          <w:color w:val="000000"/>
          <w:sz w:val="24"/>
          <w:szCs w:val="24"/>
        </w:rPr>
        <w:t xml:space="preserve"> un tas, cik bieži un intensīvi patērētājs preces lieto. Turklāt tiktāl, cik konkrēta informācija par ilgizturību ir norādīta jebkādā pirms līguma slēgšanas sniedzamajā informācijā, kas ir daļa no pārdošanas līguma, patērētājam būtu jāspēj uz to paļauties kā uz daļu no subjektīvajām prasībām attiecībā uz atbilstību."</w:t>
      </w:r>
      <w:r>
        <w:rPr>
          <w:rFonts w:eastAsia="Times New Roman"/>
        </w:rPr>
        <w:t xml:space="preserve"> </w:t>
      </w:r>
    </w:p>
    <w:p w:rsidR="003C100C" w:rsidRDefault="003C100C" w:rsidP="003C100C">
      <w:pPr>
        <w:pStyle w:val="CommentText"/>
        <w:jc w:val="both"/>
        <w:rPr>
          <w:rFonts w:ascii="Times New Roman" w:hAnsi="Times New Roman" w:cs="Times New Roman"/>
          <w:color w:val="000000"/>
          <w:sz w:val="20"/>
          <w:szCs w:val="20"/>
        </w:rPr>
      </w:pPr>
    </w:p>
    <w:p w:rsidR="003C100C" w:rsidRDefault="003C100C" w:rsidP="003C100C">
      <w:pPr>
        <w:pStyle w:val="CommentText"/>
        <w:jc w:val="both"/>
        <w:rPr>
          <w:rFonts w:ascii="Times New Roman" w:hAnsi="Times New Roman" w:cs="Times New Roman"/>
          <w:color w:val="000000"/>
          <w:sz w:val="20"/>
          <w:szCs w:val="20"/>
        </w:rPr>
      </w:pPr>
      <w:r>
        <w:rPr>
          <w:color w:val="000000"/>
          <w:sz w:val="24"/>
          <w:szCs w:val="24"/>
          <w:shd w:val="clear" w:color="auto" w:fill="FFFFFF"/>
        </w:rPr>
        <w:t>4. </w:t>
      </w:r>
      <w:r>
        <w:rPr>
          <w:color w:val="000000"/>
          <w:sz w:val="24"/>
          <w:szCs w:val="24"/>
        </w:rPr>
        <w:t>Lūdzam ievērot vienveidīgu jēdzienu lietojumu projektā, kā arī ņemt vērā PTAL jau lietotos jēdzienus. Tādēļ lūdzam atkārtoti izvērtēt projektā jēdzienu "preces raksturs" un "preces raksturojums" lietojumu un lietot vienu jēdzienu, ja tam ir vienāda nozīme. PTAL gan ir lietoti abi jēdzieni un nav viennozīmīgi skaidra šo jēdzienu atšķirība.</w:t>
      </w:r>
    </w:p>
    <w:p w:rsidR="003C100C" w:rsidRDefault="003C100C" w:rsidP="003C100C">
      <w:pPr>
        <w:pStyle w:val="CommentText"/>
        <w:shd w:val="clear" w:color="auto" w:fill="FFFFFF"/>
        <w:jc w:val="both"/>
        <w:rPr>
          <w:rFonts w:ascii="Times New Roman" w:hAnsi="Times New Roman" w:cs="Times New Roman"/>
          <w:sz w:val="20"/>
          <w:szCs w:val="20"/>
        </w:rPr>
      </w:pPr>
      <w:r>
        <w:rPr>
          <w:sz w:val="24"/>
          <w:szCs w:val="24"/>
        </w:rPr>
        <w:t>Vienlaikus lūdzam izvērtēt nepieciešamību projekta 7. pantā izteiktajā 14. panta piektajā daļā vārdus "preces raksturojuma novirzi" aizstāt ar vārdiem "preces rakstura un īpašību novirzi" vai "preces raksturojuma vai īpašību novirzi", ņemot vērā Direktīvā 2019/771 noteikto un PTAL lietotos jēdzienus.</w:t>
      </w:r>
    </w:p>
    <w:p w:rsidR="003C100C" w:rsidRDefault="003C100C" w:rsidP="003C100C">
      <w:pPr>
        <w:pStyle w:val="CommentText"/>
        <w:jc w:val="both"/>
        <w:rPr>
          <w:rFonts w:ascii="Times New Roman" w:hAnsi="Times New Roman" w:cs="Times New Roman"/>
          <w:color w:val="000000"/>
          <w:sz w:val="20"/>
          <w:szCs w:val="20"/>
        </w:rPr>
      </w:pPr>
    </w:p>
    <w:p w:rsidR="003C100C" w:rsidRDefault="003C100C" w:rsidP="003C100C">
      <w:pPr>
        <w:pStyle w:val="CommentText"/>
        <w:jc w:val="both"/>
        <w:rPr>
          <w:rFonts w:ascii="Times New Roman" w:hAnsi="Times New Roman" w:cs="Times New Roman"/>
          <w:color w:val="000000"/>
          <w:sz w:val="20"/>
          <w:szCs w:val="20"/>
        </w:rPr>
      </w:pPr>
      <w:r>
        <w:rPr>
          <w:color w:val="000000"/>
          <w:sz w:val="24"/>
          <w:szCs w:val="24"/>
          <w:shd w:val="clear" w:color="auto" w:fill="FFFFFF"/>
        </w:rPr>
        <w:t xml:space="preserve">5. Projekta 13. pantā izteiktā 28. panta 12. daļas pēdējais teikums paredz: "Pārdevēja pienākumu izpilde tiek uzskatīta par pabeigtu ar brīdi, kad </w:t>
      </w:r>
      <w:r>
        <w:rPr>
          <w:color w:val="000000"/>
          <w:sz w:val="24"/>
          <w:szCs w:val="24"/>
          <w:u w:val="single"/>
          <w:shd w:val="clear" w:color="auto" w:fill="FFFFFF"/>
        </w:rPr>
        <w:t>pārdevējs paziņojis</w:t>
      </w:r>
      <w:r>
        <w:rPr>
          <w:color w:val="000000"/>
          <w:sz w:val="24"/>
          <w:szCs w:val="24"/>
          <w:shd w:val="clear" w:color="auto" w:fill="FFFFFF"/>
        </w:rPr>
        <w:t xml:space="preserve"> un patērētājs pieņēmis preces kā atbilstošas." </w:t>
      </w:r>
    </w:p>
    <w:p w:rsidR="003C100C" w:rsidRDefault="003C100C" w:rsidP="003C100C">
      <w:pPr>
        <w:pStyle w:val="CommentText"/>
        <w:jc w:val="both"/>
        <w:rPr>
          <w:rFonts w:ascii="Times New Roman" w:hAnsi="Times New Roman" w:cs="Times New Roman"/>
          <w:color w:val="000000"/>
          <w:sz w:val="20"/>
          <w:szCs w:val="20"/>
        </w:rPr>
      </w:pPr>
      <w:r>
        <w:rPr>
          <w:color w:val="000000"/>
          <w:sz w:val="24"/>
          <w:szCs w:val="24"/>
          <w:shd w:val="clear" w:color="auto" w:fill="FFFFFF"/>
        </w:rPr>
        <w:t>Vēršam uzmanību, ka minētā teikuma redakcija nav skaidra, proti, nav skaidrs, ko ir paziņojis pārdevējs. Tāpēc lūdzam precizēt minētā teikuma redakciju.</w:t>
      </w:r>
    </w:p>
    <w:p w:rsidR="003C100C" w:rsidRDefault="003C100C" w:rsidP="003C100C">
      <w:pPr>
        <w:pStyle w:val="CommentText"/>
        <w:jc w:val="both"/>
        <w:rPr>
          <w:rFonts w:ascii="Times New Roman" w:hAnsi="Times New Roman" w:cs="Times New Roman"/>
          <w:color w:val="000000"/>
          <w:sz w:val="20"/>
          <w:szCs w:val="20"/>
        </w:rPr>
      </w:pPr>
    </w:p>
    <w:p w:rsidR="003C100C" w:rsidRDefault="003C100C" w:rsidP="003C100C">
      <w:pPr>
        <w:pStyle w:val="CommentText"/>
        <w:jc w:val="both"/>
        <w:rPr>
          <w:rFonts w:ascii="Times New Roman" w:hAnsi="Times New Roman" w:cs="Times New Roman"/>
          <w:color w:val="000000"/>
          <w:sz w:val="20"/>
          <w:szCs w:val="20"/>
        </w:rPr>
      </w:pPr>
      <w:r>
        <w:rPr>
          <w:color w:val="000000"/>
          <w:sz w:val="24"/>
          <w:szCs w:val="24"/>
        </w:rPr>
        <w:t>6. Vēršam uzmanību, ka projektā, kā arī PTAL ir lietoti tādi jēdzieni kā "tiesības izbeigt līgumu", "tiesības atcelt līgumu" un "tiesības vienpusēji atkāpties no līguma". </w:t>
      </w:r>
    </w:p>
    <w:p w:rsidR="003C100C" w:rsidRDefault="003C100C" w:rsidP="003C100C">
      <w:pPr>
        <w:pStyle w:val="CommentText"/>
        <w:jc w:val="both"/>
        <w:rPr>
          <w:rFonts w:ascii="Times New Roman" w:hAnsi="Times New Roman" w:cs="Times New Roman"/>
          <w:color w:val="000000"/>
          <w:sz w:val="20"/>
          <w:szCs w:val="20"/>
        </w:rPr>
      </w:pPr>
      <w:r>
        <w:rPr>
          <w:color w:val="000000"/>
          <w:sz w:val="24"/>
          <w:szCs w:val="24"/>
        </w:rPr>
        <w:lastRenderedPageBreak/>
        <w:t xml:space="preserve">Jēdzieni "tiesības atcelt līgumu" un "tiesības vienpusēji atkāpties no līguma" nav identiski. Atbilstoši Civillikumam </w:t>
      </w:r>
      <w:r>
        <w:rPr>
          <w:b/>
          <w:bCs/>
          <w:color w:val="000000"/>
          <w:sz w:val="24"/>
          <w:szCs w:val="24"/>
        </w:rPr>
        <w:t>tiesības vienpusēji atkāpties no līguma</w:t>
      </w:r>
      <w:r>
        <w:rPr>
          <w:color w:val="000000"/>
          <w:sz w:val="24"/>
          <w:szCs w:val="24"/>
        </w:rPr>
        <w:t xml:space="preserve"> nozīmē, ka līgums izbeidzas ar vienas puses atkāpšanos. </w:t>
      </w:r>
    </w:p>
    <w:p w:rsidR="003C100C" w:rsidRDefault="003C100C" w:rsidP="003C100C">
      <w:pPr>
        <w:jc w:val="both"/>
        <w:rPr>
          <w:rFonts w:eastAsia="Times New Roman"/>
        </w:rPr>
      </w:pPr>
      <w:r>
        <w:rPr>
          <w:rFonts w:eastAsia="Times New Roman"/>
          <w:color w:val="000000"/>
          <w:sz w:val="24"/>
          <w:szCs w:val="24"/>
        </w:rPr>
        <w:t xml:space="preserve">Latvijas civiltiesībās personai tiesības vienpusēji atkāpties no līguma var pastāvēt tikai noteiktos gadījumos. Atbilstoši Civillikuma 1589.pantam vienpusēja atkāpšanās no līguma ir pielaižama tikai tad, kad tā pamatota ar paša līguma raksturu, vai kad to zināmos apstākļos atļauj likums, vai arī kad tāda tiesība bijusi noteikti pielīgta. </w:t>
      </w:r>
    </w:p>
    <w:p w:rsidR="003C100C" w:rsidRDefault="003C100C" w:rsidP="003C100C">
      <w:pPr>
        <w:pStyle w:val="CommentText"/>
        <w:jc w:val="both"/>
        <w:rPr>
          <w:rFonts w:ascii="Times New Roman" w:hAnsi="Times New Roman" w:cs="Times New Roman"/>
          <w:color w:val="000000"/>
          <w:sz w:val="20"/>
          <w:szCs w:val="20"/>
        </w:rPr>
      </w:pPr>
      <w:r>
        <w:rPr>
          <w:color w:val="000000"/>
          <w:sz w:val="24"/>
          <w:szCs w:val="24"/>
        </w:rPr>
        <w:t xml:space="preserve">Savukārt </w:t>
      </w:r>
      <w:r>
        <w:rPr>
          <w:b/>
          <w:bCs/>
          <w:color w:val="000000"/>
          <w:sz w:val="24"/>
          <w:szCs w:val="24"/>
        </w:rPr>
        <w:t>tiesības atcelt līgumu (vai tiesības prasīt līguma atcelšanu)</w:t>
      </w:r>
      <w:r>
        <w:rPr>
          <w:color w:val="000000"/>
          <w:sz w:val="24"/>
          <w:szCs w:val="24"/>
        </w:rPr>
        <w:t xml:space="preserve"> nozīmē, ka persona var prasīt otrai pusei (un tiesai, ja otra puse nepiekrīt) līguma atcelšanu, bet līgums ar prasību atcelt vēl neizbeidzas.</w:t>
      </w:r>
    </w:p>
    <w:p w:rsidR="003C100C" w:rsidRDefault="003C100C" w:rsidP="003C100C">
      <w:pPr>
        <w:pStyle w:val="CommentText"/>
        <w:jc w:val="both"/>
        <w:rPr>
          <w:rFonts w:ascii="Times New Roman" w:hAnsi="Times New Roman" w:cs="Times New Roman"/>
          <w:color w:val="000000"/>
          <w:sz w:val="20"/>
          <w:szCs w:val="20"/>
        </w:rPr>
      </w:pPr>
      <w:r>
        <w:rPr>
          <w:color w:val="000000"/>
          <w:sz w:val="24"/>
          <w:szCs w:val="24"/>
        </w:rPr>
        <w:t xml:space="preserve">Tādējādi lūdzam rūpīgi atkārtoti izvērtēt minēto jēdzienu lietojumu un vērtēt, vai atsevišķās projekta vienībās, kur paredzētas tiesības atcelt līgumu vai izbeigt līgumu, nav nepieciešams norādīt </w:t>
      </w:r>
      <w:r>
        <w:rPr>
          <w:color w:val="000000"/>
          <w:sz w:val="24"/>
          <w:szCs w:val="24"/>
          <w:u w:val="single"/>
        </w:rPr>
        <w:t>patērētājam</w:t>
      </w:r>
      <w:r>
        <w:rPr>
          <w:color w:val="000000"/>
          <w:sz w:val="24"/>
          <w:szCs w:val="24"/>
        </w:rPr>
        <w:t xml:space="preserve"> tiesības vienpusēji atkāpties no līguma.</w:t>
      </w:r>
    </w:p>
    <w:p w:rsidR="003C100C" w:rsidRDefault="003C100C" w:rsidP="003C100C">
      <w:pPr>
        <w:pStyle w:val="CommentText"/>
        <w:jc w:val="both"/>
        <w:rPr>
          <w:rFonts w:ascii="Times New Roman" w:hAnsi="Times New Roman" w:cs="Times New Roman"/>
          <w:color w:val="000000"/>
          <w:sz w:val="20"/>
          <w:szCs w:val="20"/>
        </w:rPr>
      </w:pPr>
      <w:r>
        <w:rPr>
          <w:color w:val="000000"/>
          <w:sz w:val="24"/>
          <w:szCs w:val="24"/>
        </w:rPr>
        <w:t>Lūdzam šo jēdzienu lietojumu izvērtēt arī kopā ar Patērētāju tiesību aizsardzības centru.</w:t>
      </w:r>
    </w:p>
    <w:p w:rsidR="003C100C" w:rsidRDefault="003C100C" w:rsidP="003C100C">
      <w:pPr>
        <w:pStyle w:val="CommentText"/>
        <w:jc w:val="both"/>
        <w:rPr>
          <w:rFonts w:ascii="Times New Roman" w:hAnsi="Times New Roman" w:cs="Times New Roman"/>
          <w:color w:val="000000"/>
          <w:sz w:val="20"/>
          <w:szCs w:val="20"/>
        </w:rPr>
      </w:pPr>
    </w:p>
    <w:p w:rsidR="003C100C" w:rsidRDefault="003C100C" w:rsidP="003C100C">
      <w:pPr>
        <w:pStyle w:val="CommentText"/>
        <w:jc w:val="both"/>
        <w:rPr>
          <w:rFonts w:ascii="Times New Roman" w:hAnsi="Times New Roman" w:cs="Times New Roman"/>
          <w:color w:val="000000"/>
          <w:sz w:val="20"/>
          <w:szCs w:val="20"/>
        </w:rPr>
      </w:pPr>
      <w:r>
        <w:rPr>
          <w:color w:val="000000"/>
          <w:sz w:val="24"/>
          <w:szCs w:val="24"/>
        </w:rPr>
        <w:t>7. Lūdzam precizēt projekta anotācijas V sadaļas 1. tabulas rīcības brīvības sadaļu: </w:t>
      </w:r>
    </w:p>
    <w:p w:rsidR="003C100C" w:rsidRDefault="003C100C" w:rsidP="003C100C">
      <w:pPr>
        <w:pStyle w:val="CommentText"/>
        <w:jc w:val="both"/>
        <w:rPr>
          <w:rFonts w:ascii="Times New Roman" w:hAnsi="Times New Roman" w:cs="Times New Roman"/>
          <w:color w:val="000000"/>
          <w:sz w:val="20"/>
          <w:szCs w:val="20"/>
        </w:rPr>
      </w:pPr>
      <w:r>
        <w:rPr>
          <w:color w:val="000000"/>
          <w:sz w:val="24"/>
          <w:szCs w:val="24"/>
        </w:rPr>
        <w:t>1) lūdzam izvērstāk skaidrot norādi "Attiecībā uz </w:t>
      </w:r>
      <w:r>
        <w:rPr>
          <w:color w:val="000000"/>
          <w:sz w:val="24"/>
          <w:szCs w:val="24"/>
          <w:shd w:val="clear" w:color="auto" w:fill="FFFFFF"/>
        </w:rPr>
        <w:t>Direktīvas 2019/771</w:t>
      </w:r>
      <w:r>
        <w:rPr>
          <w:rStyle w:val="apple-converted-space"/>
          <w:color w:val="000000"/>
          <w:sz w:val="24"/>
          <w:szCs w:val="24"/>
          <w:shd w:val="clear" w:color="auto" w:fill="FFFFFF"/>
        </w:rPr>
        <w:t> </w:t>
      </w:r>
      <w:r>
        <w:rPr>
          <w:color w:val="000000"/>
          <w:sz w:val="24"/>
          <w:szCs w:val="24"/>
        </w:rPr>
        <w:t>3.panta 6.punkta vispārīgajiem līgumtiesību aspektiem tiek saglabāts esošais regulējums". Lūdzam norādīt esošo regulējumu, kā arī izvērstāk skaidrot Direktīvā paredzēto rīcības brīvību.</w:t>
      </w:r>
    </w:p>
    <w:p w:rsidR="003C100C" w:rsidRDefault="003C100C" w:rsidP="003C100C">
      <w:pPr>
        <w:pStyle w:val="CommentText"/>
        <w:jc w:val="both"/>
        <w:rPr>
          <w:rFonts w:ascii="Times New Roman" w:hAnsi="Times New Roman" w:cs="Times New Roman"/>
          <w:color w:val="000000"/>
          <w:sz w:val="20"/>
          <w:szCs w:val="20"/>
        </w:rPr>
      </w:pPr>
      <w:r>
        <w:rPr>
          <w:color w:val="000000"/>
          <w:sz w:val="24"/>
          <w:szCs w:val="24"/>
        </w:rPr>
        <w:t xml:space="preserve">2) lūdzam sniegt </w:t>
      </w:r>
      <w:r>
        <w:rPr>
          <w:b/>
          <w:bCs/>
          <w:color w:val="000000"/>
          <w:sz w:val="24"/>
          <w:szCs w:val="24"/>
        </w:rPr>
        <w:t>izvērstāku pamatojumu</w:t>
      </w:r>
      <w:r>
        <w:rPr>
          <w:color w:val="000000"/>
          <w:sz w:val="24"/>
          <w:szCs w:val="24"/>
        </w:rPr>
        <w:t xml:space="preserve"> par Direktīvas 2019/771 10. panta 3. punktā paredzētās rīcības brīvības neizmantošanu Latvijā.  </w:t>
      </w:r>
    </w:p>
    <w:p w:rsidR="003C100C" w:rsidRDefault="003C100C" w:rsidP="003C100C">
      <w:pPr>
        <w:jc w:val="both"/>
        <w:rPr>
          <w:rFonts w:eastAsia="Times New Roman"/>
        </w:rPr>
      </w:pPr>
      <w:r>
        <w:rPr>
          <w:rFonts w:eastAsia="Times New Roman"/>
          <w:color w:val="000000"/>
          <w:sz w:val="24"/>
          <w:szCs w:val="24"/>
        </w:rPr>
        <w:t xml:space="preserve">Norādām, ka esošais regulējums nav pietiekošs pamatojums neizmantot Direktīvā paredzēto rīcības brīvību, jo Direktīva paredz iespēju valstij noteikt </w:t>
      </w:r>
      <w:r>
        <w:rPr>
          <w:rFonts w:eastAsia="Times New Roman"/>
          <w:b/>
          <w:bCs/>
          <w:color w:val="000000"/>
          <w:sz w:val="24"/>
          <w:szCs w:val="24"/>
        </w:rPr>
        <w:t>augstāku</w:t>
      </w:r>
      <w:r>
        <w:rPr>
          <w:rFonts w:eastAsia="Times New Roman"/>
          <w:color w:val="000000"/>
          <w:sz w:val="24"/>
          <w:szCs w:val="24"/>
        </w:rPr>
        <w:t xml:space="preserve"> patērētāju aizsardzības līmeni, un, ja valsts to neizvēlas darīt, valstij ir jāskaidro apsvērumi, kāpēc tā to nevēlas darīt.</w:t>
      </w:r>
    </w:p>
    <w:p w:rsidR="003C100C" w:rsidRDefault="003C100C" w:rsidP="003C100C">
      <w:pPr>
        <w:jc w:val="both"/>
        <w:rPr>
          <w:rFonts w:eastAsia="Times New Roman"/>
        </w:rPr>
      </w:pPr>
      <w:r>
        <w:rPr>
          <w:rFonts w:eastAsia="Times New Roman"/>
          <w:color w:val="000000"/>
          <w:sz w:val="24"/>
          <w:szCs w:val="24"/>
        </w:rPr>
        <w:t xml:space="preserve">Aicinām ņemt vērā arī Direktīvas 2019/771 preambulas 41. apsvērumu: “Lai nodrošinātu juridisko noteiktību pārdevējiem un patērētāju vispārēju uzticēšanos pārrobežu pirkumiem, būtu jāparedz laikposms, kurā patērētājam ir tiesības uz tiesiskās aizsardzības līdzekļiem attiecībā uz jebkādu neatbilstību, kas pastāv attiecīgajā atbilstības noteikšanas laikā. Ņemot vērā to, ka, īstenojot Direktīvu 1999/44/EK, lielākā daļa dalībvalstu ir noteikušas divu gadu laikposmu un praksē tirgus dalībnieki minēto laikposmu uzskata par saprātīgu, minētais laikposms būtu jāsaglabā. Tādam pašam laikposmam būtu jāattiecas uz precēm, kurām ir digitāli elementi. Tomēr gadījumos, kad līgums paredz pastāvīgu piegādi vairāk nekā divu gadu laikposmā, patērētājam vajadzētu būt tiesībām izmantot tiesiskās aizsardzības līdzekļus attiecībā uz jebkādu digitālā satura vai digitālā pakalpojuma neatbilstību, kas rodas vai kļūst redzama laikposmā, kurā saskaņā ar līgumu ir jāpiegādā digitālais saturs vai digitālais pakalpojums. Lai dalībvalstīm nodrošinātu elastību attiecībā uz patērētāju aizsardzības līmeņa paaugstināšanu savos valsts tiesību aktos, tām vajadzētu būt rīcības brīvībai paredzēt tādus pārdevēja atbildības laikposmus, kas ir ilgāki par šajā direktīvā noteiktajiem laikposmiem.” </w:t>
      </w:r>
    </w:p>
    <w:p w:rsidR="003C100C" w:rsidRDefault="003C100C" w:rsidP="003C100C">
      <w:pPr>
        <w:jc w:val="both"/>
        <w:rPr>
          <w:rFonts w:eastAsia="Times New Roman"/>
        </w:rPr>
      </w:pPr>
      <w:r>
        <w:rPr>
          <w:rFonts w:eastAsia="Times New Roman"/>
          <w:color w:val="000000"/>
          <w:sz w:val="24"/>
          <w:szCs w:val="24"/>
        </w:rPr>
        <w:t>3) lūdzam precizēt 17.lpp. redakciju teikumam: "</w:t>
      </w:r>
      <w:r>
        <w:rPr>
          <w:rFonts w:eastAsia="Times New Roman"/>
          <w:color w:val="000000"/>
          <w:sz w:val="24"/>
          <w:szCs w:val="24"/>
          <w:u w:val="single"/>
        </w:rPr>
        <w:t>Šādi tiek novērsta situācija, ka patērētājs par preces neatbilstību paziņo pēc iespējas ātrāk</w:t>
      </w:r>
      <w:r>
        <w:rPr>
          <w:rFonts w:eastAsia="Times New Roman"/>
          <w:color w:val="000000"/>
          <w:sz w:val="24"/>
          <w:szCs w:val="24"/>
        </w:rPr>
        <w:t>, kā rezultātā uzņēmējs precei var novērst neatbilstību ātrāk un ar mazākām izmaksām." </w:t>
      </w:r>
    </w:p>
    <w:p w:rsidR="003C100C" w:rsidRDefault="003C100C" w:rsidP="003C100C">
      <w:pPr>
        <w:jc w:val="both"/>
        <w:rPr>
          <w:rFonts w:eastAsia="Times New Roman"/>
        </w:rPr>
      </w:pPr>
      <w:r>
        <w:rPr>
          <w:rFonts w:eastAsia="Times New Roman"/>
          <w:color w:val="000000"/>
          <w:sz w:val="24"/>
          <w:szCs w:val="24"/>
        </w:rPr>
        <w:t>4) lūdzam norādes uz "esošo regulējumu" papildināt ar konkrētām PTAL normām.</w:t>
      </w:r>
    </w:p>
    <w:p w:rsidR="003C100C" w:rsidRDefault="003C100C" w:rsidP="003C100C">
      <w:pPr>
        <w:jc w:val="both"/>
        <w:rPr>
          <w:rFonts w:eastAsia="Times New Roman"/>
        </w:rPr>
      </w:pPr>
    </w:p>
    <w:p w:rsidR="003C100C" w:rsidRDefault="003C100C" w:rsidP="003C100C">
      <w:pPr>
        <w:jc w:val="both"/>
        <w:rPr>
          <w:rFonts w:eastAsia="Times New Roman"/>
          <w:color w:val="000000"/>
          <w:sz w:val="24"/>
          <w:szCs w:val="24"/>
        </w:rPr>
      </w:pPr>
    </w:p>
    <w:p w:rsidR="003C100C" w:rsidRDefault="003C100C" w:rsidP="003C100C">
      <w:pPr>
        <w:jc w:val="both"/>
        <w:rPr>
          <w:rFonts w:eastAsia="Times New Roman"/>
          <w:color w:val="000000"/>
          <w:sz w:val="24"/>
          <w:szCs w:val="24"/>
        </w:rPr>
      </w:pPr>
      <w:r>
        <w:rPr>
          <w:rFonts w:eastAsia="Times New Roman"/>
          <w:color w:val="000000"/>
          <w:sz w:val="24"/>
          <w:szCs w:val="24"/>
        </w:rPr>
        <w:t>Vienlaikus izsakām šādus priekšlikumus:</w:t>
      </w:r>
    </w:p>
    <w:p w:rsidR="003C100C" w:rsidRDefault="003C100C" w:rsidP="003C100C">
      <w:pPr>
        <w:jc w:val="both"/>
        <w:rPr>
          <w:rFonts w:eastAsia="Times New Roman"/>
          <w:color w:val="000000"/>
          <w:sz w:val="24"/>
          <w:szCs w:val="24"/>
        </w:rPr>
      </w:pPr>
      <w:r>
        <w:rPr>
          <w:rFonts w:eastAsia="Times New Roman"/>
          <w:color w:val="000000"/>
          <w:sz w:val="24"/>
          <w:szCs w:val="24"/>
        </w:rPr>
        <w:t>1. Aicinām precizēt projekta 1. pantā izteiktā 1. panta 6.punkta trešo teikumu, vārdus iekavās izsakot šādi: "turpmāk – prece ar digitāliem elementiem." Jēdziens "prece ar digitāliem elementiem" turpmāk projektā ir lietots vairākās projekta vienībās.</w:t>
      </w:r>
    </w:p>
    <w:p w:rsidR="003C100C" w:rsidRDefault="003C100C" w:rsidP="003C100C">
      <w:pPr>
        <w:jc w:val="both"/>
        <w:rPr>
          <w:rFonts w:eastAsia="Times New Roman"/>
          <w:color w:val="000000"/>
          <w:sz w:val="24"/>
          <w:szCs w:val="24"/>
        </w:rPr>
      </w:pPr>
      <w:r>
        <w:rPr>
          <w:rFonts w:eastAsia="Times New Roman"/>
          <w:color w:val="000000"/>
          <w:sz w:val="24"/>
          <w:szCs w:val="24"/>
        </w:rPr>
        <w:t>2. Aicinām precizēt projekta 13. pantā izteiktā 28. panta 12. daļu, aizstājot vārdus "par to jāpaziņo" ar vārdiem "patērētājs par to paziņo". Normatīvajos aktos, nosakot pienākumus personai, parasti lieto tagadnes īstenības, nevis vajadzības izteiksmi.</w:t>
      </w:r>
    </w:p>
    <w:p w:rsidR="003C100C" w:rsidRDefault="003C100C" w:rsidP="003C100C">
      <w:pPr>
        <w:jc w:val="both"/>
        <w:rPr>
          <w:rFonts w:eastAsia="Times New Roman"/>
          <w:color w:val="000000"/>
          <w:sz w:val="24"/>
          <w:szCs w:val="24"/>
        </w:rPr>
      </w:pPr>
      <w:r>
        <w:rPr>
          <w:rFonts w:eastAsia="Times New Roman"/>
          <w:color w:val="000000"/>
          <w:sz w:val="24"/>
          <w:szCs w:val="24"/>
        </w:rPr>
        <w:t>3. Aicinām precizēt projekta 15. pantu, aizstājot vārdu "atmaksāšana" ar vārdu "atmaksa". Normatīvajos aktos vēlams izvairīties no lietvārdu ar izskaņas "</w:t>
      </w:r>
      <w:proofErr w:type="spellStart"/>
      <w:r>
        <w:rPr>
          <w:rFonts w:eastAsia="Times New Roman"/>
          <w:color w:val="000000"/>
          <w:sz w:val="24"/>
          <w:szCs w:val="24"/>
        </w:rPr>
        <w:t>šana</w:t>
      </w:r>
      <w:proofErr w:type="spellEnd"/>
      <w:r>
        <w:rPr>
          <w:rFonts w:eastAsia="Times New Roman"/>
          <w:color w:val="000000"/>
          <w:sz w:val="24"/>
          <w:szCs w:val="24"/>
        </w:rPr>
        <w:t>" lietošanas, tā izsakot teikumus īsākās un vieglāk uztveramās redakcijās.</w:t>
      </w:r>
    </w:p>
    <w:p w:rsidR="003C100C" w:rsidRDefault="003C100C" w:rsidP="003C100C">
      <w:pPr>
        <w:rPr>
          <w:rFonts w:eastAsia="Times New Roman"/>
          <w:color w:val="000000"/>
          <w:sz w:val="24"/>
          <w:szCs w:val="24"/>
        </w:rPr>
      </w:pPr>
    </w:p>
    <w:p w:rsidR="003C100C" w:rsidRDefault="003C100C" w:rsidP="003C100C">
      <w:pPr>
        <w:rPr>
          <w:rFonts w:eastAsia="Times New Roman"/>
          <w:color w:val="000000"/>
          <w:sz w:val="24"/>
          <w:szCs w:val="24"/>
        </w:rPr>
      </w:pPr>
    </w:p>
    <w:p w:rsidR="003C100C" w:rsidRDefault="003C100C" w:rsidP="003C100C">
      <w:pPr>
        <w:pStyle w:val="NormalWeb"/>
        <w:jc w:val="both"/>
        <w:rPr>
          <w:color w:val="201F1E"/>
        </w:rPr>
      </w:pPr>
      <w:r>
        <w:rPr>
          <w:color w:val="000000"/>
        </w:rPr>
        <w:t>Cieņā</w:t>
      </w:r>
    </w:p>
    <w:p w:rsidR="003C100C" w:rsidRDefault="003C100C" w:rsidP="003C100C">
      <w:r>
        <w:rPr>
          <w:rFonts w:eastAsia="Times New Roman"/>
          <w:b/>
          <w:bCs/>
          <w:color w:val="000000"/>
        </w:rPr>
        <w:t>Amanda Mūrniece</w:t>
      </w:r>
      <w:r>
        <w:t xml:space="preserve"> </w:t>
      </w:r>
    </w:p>
    <w:p w:rsidR="003C100C" w:rsidRDefault="003C100C" w:rsidP="003C100C">
      <w:pPr>
        <w:rPr>
          <w:rFonts w:eastAsia="Times New Roman"/>
          <w:color w:val="000000"/>
          <w:sz w:val="24"/>
          <w:szCs w:val="24"/>
        </w:rPr>
      </w:pPr>
      <w:r>
        <w:rPr>
          <w:rFonts w:eastAsia="Times New Roman"/>
          <w:color w:val="000000"/>
        </w:rPr>
        <w:t>Tieslietu ministrijas Valststiesību departamenta</w:t>
      </w:r>
    </w:p>
    <w:p w:rsidR="003C100C" w:rsidRDefault="003C100C" w:rsidP="003C100C">
      <w:pPr>
        <w:pStyle w:val="NormalWeb"/>
        <w:shd w:val="clear" w:color="auto" w:fill="FFFFFF"/>
        <w:rPr>
          <w:color w:val="201F1E"/>
        </w:rPr>
      </w:pPr>
      <w:r>
        <w:rPr>
          <w:color w:val="000000"/>
          <w:shd w:val="clear" w:color="auto" w:fill="FFFFFF"/>
        </w:rPr>
        <w:t>Starptautisko publisko tiesību nodaļas juriste</w:t>
      </w:r>
    </w:p>
    <w:p w:rsidR="003C100C" w:rsidRDefault="003C100C" w:rsidP="003C100C">
      <w:pPr>
        <w:pStyle w:val="NormalWeb"/>
        <w:shd w:val="clear" w:color="auto" w:fill="FFFFFF"/>
        <w:rPr>
          <w:color w:val="201F1E"/>
        </w:rPr>
      </w:pPr>
      <w:r>
        <w:rPr>
          <w:color w:val="000000"/>
          <w:shd w:val="clear" w:color="auto" w:fill="FFFFFF"/>
        </w:rPr>
        <w:t>Tālrunis: 67036942</w:t>
      </w:r>
    </w:p>
    <w:p w:rsidR="003C100C" w:rsidRDefault="003C100C" w:rsidP="003C100C">
      <w:pPr>
        <w:pStyle w:val="NormalWeb"/>
        <w:shd w:val="clear" w:color="auto" w:fill="FFFFFF"/>
        <w:rPr>
          <w:color w:val="201F1E"/>
        </w:rPr>
      </w:pPr>
      <w:r>
        <w:rPr>
          <w:color w:val="000000"/>
        </w:rPr>
        <w:t>E-pasts: </w:t>
      </w:r>
      <w:hyperlink r:id="rId6" w:tgtFrame="_blank" w:history="1">
        <w:r>
          <w:rPr>
            <w:rStyle w:val="Hyperlink"/>
          </w:rPr>
          <w:t>Amanda.Murniece@tm.gov.lv</w:t>
        </w:r>
      </w:hyperlink>
    </w:p>
    <w:p w:rsidR="00264AC3" w:rsidRDefault="00264AC3">
      <w:bookmarkStart w:id="0" w:name="_GoBack"/>
      <w:bookmarkEnd w:id="0"/>
    </w:p>
    <w:sectPr w:rsidR="00264AC3">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1B82" w:rsidRDefault="00CC1B82" w:rsidP="003C100C">
      <w:r>
        <w:separator/>
      </w:r>
    </w:p>
  </w:endnote>
  <w:endnote w:type="continuationSeparator" w:id="0">
    <w:p w:rsidR="00CC1B82" w:rsidRDefault="00CC1B82" w:rsidP="003C1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00C" w:rsidRPr="003C100C" w:rsidRDefault="003C100C">
    <w:pPr>
      <w:pStyle w:val="Footer"/>
      <w:rPr>
        <w:rFonts w:ascii="Times New Roman" w:hAnsi="Times New Roman" w:cs="Times New Roman"/>
      </w:rPr>
    </w:pPr>
    <w:r w:rsidRPr="003C100C">
      <w:rPr>
        <w:rFonts w:ascii="Times New Roman" w:hAnsi="Times New Roman" w:cs="Times New Roman"/>
      </w:rPr>
      <w:t>TMAtz_210521_PTAL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1B82" w:rsidRDefault="00CC1B82" w:rsidP="003C100C">
      <w:r>
        <w:separator/>
      </w:r>
    </w:p>
  </w:footnote>
  <w:footnote w:type="continuationSeparator" w:id="0">
    <w:p w:rsidR="00CC1B82" w:rsidRDefault="00CC1B82" w:rsidP="003C10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00C"/>
    <w:rsid w:val="00264AC3"/>
    <w:rsid w:val="003C100C"/>
    <w:rsid w:val="00CC1B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F2A30"/>
  <w15:chartTrackingRefBased/>
  <w15:docId w15:val="{F8C406AC-7B46-443C-A76A-01089C6F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00C"/>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C100C"/>
    <w:rPr>
      <w:color w:val="0000FF"/>
      <w:u w:val="single"/>
    </w:rPr>
  </w:style>
  <w:style w:type="paragraph" w:styleId="NormalWeb">
    <w:name w:val="Normal (Web)"/>
    <w:basedOn w:val="Normal"/>
    <w:uiPriority w:val="99"/>
    <w:semiHidden/>
    <w:unhideWhenUsed/>
    <w:rsid w:val="003C100C"/>
  </w:style>
  <w:style w:type="paragraph" w:styleId="CommentText">
    <w:name w:val="annotation text"/>
    <w:basedOn w:val="Normal"/>
    <w:link w:val="CommentTextChar"/>
    <w:uiPriority w:val="99"/>
    <w:semiHidden/>
    <w:unhideWhenUsed/>
    <w:rsid w:val="003C100C"/>
  </w:style>
  <w:style w:type="character" w:customStyle="1" w:styleId="CommentTextChar">
    <w:name w:val="Comment Text Char"/>
    <w:basedOn w:val="DefaultParagraphFont"/>
    <w:link w:val="CommentText"/>
    <w:uiPriority w:val="99"/>
    <w:semiHidden/>
    <w:rsid w:val="003C100C"/>
    <w:rPr>
      <w:rFonts w:ascii="Calibri" w:hAnsi="Calibri" w:cs="Calibri"/>
      <w:lang w:eastAsia="lv-LV"/>
    </w:rPr>
  </w:style>
  <w:style w:type="character" w:customStyle="1" w:styleId="apple-converted-space">
    <w:name w:val="apple-converted-space"/>
    <w:basedOn w:val="DefaultParagraphFont"/>
    <w:rsid w:val="003C100C"/>
  </w:style>
  <w:style w:type="paragraph" w:styleId="Header">
    <w:name w:val="header"/>
    <w:basedOn w:val="Normal"/>
    <w:link w:val="HeaderChar"/>
    <w:uiPriority w:val="99"/>
    <w:unhideWhenUsed/>
    <w:rsid w:val="003C100C"/>
    <w:pPr>
      <w:tabs>
        <w:tab w:val="center" w:pos="4153"/>
        <w:tab w:val="right" w:pos="8306"/>
      </w:tabs>
    </w:pPr>
  </w:style>
  <w:style w:type="character" w:customStyle="1" w:styleId="HeaderChar">
    <w:name w:val="Header Char"/>
    <w:basedOn w:val="DefaultParagraphFont"/>
    <w:link w:val="Header"/>
    <w:uiPriority w:val="99"/>
    <w:rsid w:val="003C100C"/>
    <w:rPr>
      <w:rFonts w:ascii="Calibri" w:hAnsi="Calibri" w:cs="Calibri"/>
      <w:lang w:eastAsia="lv-LV"/>
    </w:rPr>
  </w:style>
  <w:style w:type="paragraph" w:styleId="Footer">
    <w:name w:val="footer"/>
    <w:basedOn w:val="Normal"/>
    <w:link w:val="FooterChar"/>
    <w:uiPriority w:val="99"/>
    <w:unhideWhenUsed/>
    <w:rsid w:val="003C100C"/>
    <w:pPr>
      <w:tabs>
        <w:tab w:val="center" w:pos="4153"/>
        <w:tab w:val="right" w:pos="8306"/>
      </w:tabs>
    </w:pPr>
  </w:style>
  <w:style w:type="character" w:customStyle="1" w:styleId="FooterChar">
    <w:name w:val="Footer Char"/>
    <w:basedOn w:val="DefaultParagraphFont"/>
    <w:link w:val="Footer"/>
    <w:uiPriority w:val="99"/>
    <w:rsid w:val="003C100C"/>
    <w:rPr>
      <w:rFonts w:ascii="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58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manda.Murniece@tm.gov.l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6785</Words>
  <Characters>3869</Characters>
  <Application>Microsoft Office Word</Application>
  <DocSecurity>0</DocSecurity>
  <Lines>32</Lines>
  <Paragraphs>21</Paragraphs>
  <ScaleCrop>false</ScaleCrop>
  <Company/>
  <LinksUpToDate>false</LinksUpToDate>
  <CharactersWithSpaces>10633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Kudure-Ševčuka</dc:creator>
  <cp:keywords/>
  <dc:description/>
  <cp:lastModifiedBy>Evita Kudure-Ševčuka</cp:lastModifiedBy>
  <cp:revision>2</cp:revision>
  <dcterms:created xsi:type="dcterms:W3CDTF">2021-05-26T11:48:00Z</dcterms:created>
  <dcterms:modified xsi:type="dcterms:W3CDTF">2021-05-26T11:50:00Z</dcterms:modified>
</cp:coreProperties>
</file>