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projekta ietvaros finansējuma saņēmējs sniedz komercdarbības atbalstu, lūdzam paredzēt pienākumu finansējuma saņēmējam izstrādāt iekšējās kontroles sistēmu, kas paredz preventīvus pasākumus un konstatēšanas pasākumus interešu konflikta riska kontrolei atbalsta piešķiršanas procedūrā, t. sk. paziņošanas procedūru, labošanas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vienošanās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1.8.apakšpunktu, lai nedublētu Ministru kabineta noteikumos "Kārtība, kādā Eiropas Savienības fondu vadībā iesaistītās institūcijas nodrošina šo fondu ieviešanu 2021.–2027.gada plānošanas periodā" (šobrīd saskaņošanas stadijā) ietverto regulējumu. Nepieciešamības gadījumā, informāciju par vienošanās par projekta īstenošanu vienpusēja uzteikuma nosacījumiem aicinām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sadarbības iestādes funkcijas pilda un slēdz vienošanos par projekta īstenošanu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4.punktu, ņemot vērā, ka iestāde, kas pilda sadarbības iestādes funkcijas ir noteikta ar Eiropas Savienības fondu 2021.-2027.gada plānošanas perioda vadības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piesaistīto un noturēto ārstniecības personu skaits, kuras saņēmušas atbalstu, darbam valsts apmaksāto veselības aprūpes pakalpojumu sektorā, īpaši stacionāros,  lai veicinātu to piesaisti darbam veselības aprūpē.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4.1.2.5. pasākuma "Piesaistīt un noturēt ārstniecības personas darbam valsts apmaksāto veselības aprūpes pakalpojumu sektorā, īpaši stacionāros" mērķi. Norādām, ka personu skaits, un atbalstu sniegšana ir pasākumā sasniedzamie rādītāji un atbalstāmās darbības (tie ir instrumenti mērķa sasniegšanai), taču ne mērķis.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piesaistīt un noturēt ārstniecības personas darbam valsts apmaksāto veselības aprūpes pakalpojumu sektorā, īpaši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uzlabot pieejamību ārstniecības un ārstniecības atbalsta personām, kas sniedz pakalpojumus valsts apmaksāto veselības aprūpes pakalpojumu sektorā, īpaši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ir ārstniecības personu skaits, kuras saņēmušas atbalstu specifiskā atbalsta mērķa ietvaros un kuras atbalsta rezultātā strādā ārstniecības iestādē, sniedzot valsts apmaksātos veselības aprūpes pakalpojumus. Uz 2029. gada 31. decembri atbalstu būs saņēmušas 458 ārstniecības personas, no kurām 45 ārstniecības personas ar vidējo izglītību un 413 ārstniecības personas ar augstāko izglītību, tai skaitā nodrošinot, ka uz 2024. gada 31. decembri atbalstu būs saņēmušas 50 ārstniecības personas, tai skaitā, no kurām 5 ārstniecības personas ar vidējo izglītību un 45 ārstniecības personas ar augstāko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8.punktu trīs atsevišķos punktos, lai ir pilnīgi skaidrs, ka 4.1.2.5.pasākumā ir sasniedzami trīs atšķirīgi iznākuma rādītāji (i.4.1.2.a “Piesaistīto ārstniecības personu skaits, kuras saņēmušas atbalstu, lai veicinātu to piesaisti darbam veselības aprūpē”, EECO10 “Personas ar vidējo izglītību” un EECO11 “Personas ar augstāko izglītību”), kā arī aicinām precizēt 8.punktu, lai nodrošinātu, ka rādītāju nosaukumi pilnībā atbilstu Eiropas Savienības kohēzijas politikas programmai 2021.–2027.gadam un novērstu pārpratumus, ņemot vērā, ka MK noteikumos noteiktais tiek ievadīts Kohēzijas politikas fondu vadības informācijas sistēmā un attiecīgi dati tiek izmantoti informācijas sagatavošanai dažādiem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projekta iesnieguma atlasi izsludina vienu reizi par visu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Arāja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izmaksas ir attiecināmas, ja tās atbilst šajos noteikumos minētajām izmaksu pozīcijām un ir radušās ne ātrāk kā kopš 2023. gada 1. jūlija.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noteikumu projekta 11.punktā noteikts projekta izmaksu attiecināmības termiņš ir noteikts tieši 2023.gada 1.jūlijs, nevis projekta vienošanās, par tā īstenošanu, noslēgšanas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pasākumā plānots ieviest mentoringa programmu, karjeras un talantu vadības programmu. Norādām, ka Eiropas Savienības Kohēzijas politikas programmā 2021. – 2027. gadam un tās papildinājumā norādīts, ka mentoringa programmu, karjeras un talantu vadības programmu plānots ieviest 4.1.2.5. pasākuma “Piesaistīt un noturēt ārstniecības personas darbam valsts apmaksāto veselības aprūpes pakalpojumu sektorā, īpaši stacionāros”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ilgāk kā trīs mēnešu periodam un kura tiek noteikta pamatojoties uz </w:t>
            </w:r>
            <w:r w:rsidR="00000000" w:rsidRPr="00000000" w:rsidDel="00000000">
              <w:rPr>
                <w:rtl w:val="0"/>
              </w:rPr>
              <w:t xml:space="preserve">Regulas Nr. 2021/1060</w:t>
            </w:r>
            <w:r w:rsidR="00000000" w:rsidRPr="00000000" w:rsidDel="00000000">
              <w:rPr>
                <w:rtl w:val="0"/>
              </w:rPr>
              <w:t xml:space="preserve"> 3. panta 1. punkta b) apakšpunktu un uz atbildīgās iestādes izstrādātajām vienas vienības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MK noteikumu 18.punktā un 25.punktā minēto informāciju par laika periodu, kāds ir paredzēts specifisko zināšanu, informācijas un pieredzes nodošanai ģimenes ārstam, kurš pārņem praksi (ne ilgāk par 3 mēnešiem vai ne mazāk kā 3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14.4.</w:t>
            </w:r>
            <w:r w:rsidR="00000000" w:rsidRPr="00000000" w:rsidDel="00000000">
              <w:rPr>
                <w:rtl w:val="0"/>
              </w:rPr>
              <w:t xml:space="preserve"> apakšpunktā minētā atbalstāmā darbība ietver informācijas un publicitātes nodrošināšanas izmaksas atbilstoši normatīvajiem aktiem par kārtību, kādā Eiropas Savienības struktūrfondu un Kohēzijas fonda ieviešanā 2021. – 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19.punktā frāzi "normatīvajiem aktiem par kārtību, kādā Eiropas Savienības struktūrfondu un Kohēzijas fonda ieviešanā 2021. – 2027. gada plānošanas periodā nodrošināma komunikācijas un vizuālās identitātesprasību ievērošana" ar frāzi "Regulas (ES) 2021/1060 47. un 50. pantam un kārtībai,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Eiropas Savienības kohēzijas politikas programmas 2021. – 2027. gadam 9. sadaļā noteikts, ka 4.1.2.5.pasākums “Piesaistīt un noturēt ārstniecības personas darbam valsts apmaksāto veselības aprūpes pakalpojumu sektorā, īpaši stacionāros” ir stratēģiski svarīgs projekts, līdz ar to finansējuma saņēmējam ir pienākums nodrošināt papildus komunikācijas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kompensācijas pretendents ne agrāk kā 12 mēnešus pirms kompensācijas pieteikuma iesniegšanas brīža nav strādājis ārstniecības iestādē valsts apmaksāto veselības aprūpes pakalpojumu sniegšanā Latvijā (turpmāk – atbalstāmā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kādām prasībām jāatbilst atbalstāmajai iestādei. Papildus, ņemot vērā, ka atbalsts tiek sniegts arī ārstniecības iestādei, aicinu izvērtēt un, ja attiecināms, papildināt noteikumus ar prasību, ka, lai ārstniecība iestāde varētu pretendēt uz atbalsta saņemšanu, tai neatbilst izslēgšanas nosacījumiem un sankciju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šo noteikumu </w:t>
            </w:r>
            <w:r w:rsidR="00000000" w:rsidRPr="00000000" w:rsidDel="00000000">
              <w:rPr>
                <w:rtl w:val="0"/>
              </w:rPr>
              <w:t xml:space="preserve">16.</w:t>
            </w:r>
            <w:r w:rsidR="00000000" w:rsidRPr="00000000" w:rsidDel="00000000">
              <w:rPr>
                <w:rtl w:val="0"/>
              </w:rPr>
              <w:t xml:space="preserve"> punktā noteiktajām vienreizējām kompensācijām, ievērojot šo noteikumu </w:t>
            </w:r>
            <w:r w:rsidR="00000000" w:rsidRPr="00000000" w:rsidDel="00000000">
              <w:rPr>
                <w:rtl w:val="0"/>
              </w:rPr>
              <w:t xml:space="preserve">20.</w:t>
            </w:r>
            <w:r w:rsidR="00000000" w:rsidRPr="00000000" w:rsidDel="00000000">
              <w:rPr>
                <w:rtl w:val="0"/>
              </w:rPr>
              <w:t xml:space="preserve"> ​​​​​​punktā minētos nosacījumus, finansējuma saņēmējs, kompensācijas saņēmējs un atbalstāmā iestāde slēdz trīspusēju līgumu par kompensācijas saņemšanu (turpmāk – kompensācijas līgums), izņemot gadījumus, kad tiek slēgts divpusējs līgums, ja kompensācijas saņēmējs ir arī atbalstāmā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gadījumi var būt, ka tiek slēgts divpusējs līgums ar atbalstāmo iestādi, kā tas noteikts noteikumu projekta 21.punktā, t.i. vai kompensācijas saņem tikai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kontrolētu šo noteikumu </w:t>
            </w:r>
            <w:r w:rsidR="00000000" w:rsidRPr="00000000" w:rsidDel="00000000">
              <w:rPr>
                <w:rtl w:val="0"/>
              </w:rPr>
              <w:t xml:space="preserve">20.4.</w:t>
            </w:r>
            <w:r w:rsidR="00000000" w:rsidRPr="00000000" w:rsidDel="00000000">
              <w:rPr>
                <w:rtl w:val="0"/>
              </w:rPr>
              <w:t xml:space="preserve"> apakšpunktā ietverto prasību izpildi, atbalstāmās iestādes sniedz informāciju par kompensācijas saņēmēja darba apjomu valsts apmaksāto veselības aprūpes pakalpojumu sniegšanā piecus gadus kopš šo noteikumu </w:t>
            </w:r>
            <w:r w:rsidR="00000000" w:rsidRPr="00000000" w:rsidDel="00000000">
              <w:rPr>
                <w:rtl w:val="0"/>
              </w:rPr>
              <w:t xml:space="preserve">21.</w:t>
            </w:r>
            <w:r w:rsidR="00000000" w:rsidRPr="00000000" w:rsidDel="00000000">
              <w:rPr>
                <w:rtl w:val="0"/>
              </w:rPr>
              <w:t xml:space="preserve"> punktā minētā kompensācijas līguma parakstīšanas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plānots nodrošināt līgumu, par kompensācijas piešķiršanu, uzraudzību pēc projekta beigām, un kura iestāde un par kādiem līdzekļiem to darīs, ņemot vērā, ka tiks slēgti līgumi uz 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datus par projekta ietvaros kompensāciju saņēmušajām personām atbilstoši maksājuma pieprasījuma veidlapām, kas norādītas normatīvajos aktos par Eiropas Savienības struktūrfondu un Kohēzijas fonda projektu pārbaužu veikšanas kārtību 2021.–2027. gada plānošanas periodā, un Eiropas Parlamenta un Padomes 2021. gada 24. jūnija Regulu (ES) 2021/1057, ar ko izveido Eiropas Sociālo fondu Plus (ESF+) un atceļ Regulu (ES) Nr. 1296/2013 1. pielikumu par kopējo iznākuma un rezultāta rādītāju apkopošanu;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43.1.apakšpunktā vārdus "maksājuma pieprasījuma veidlapām, kas norādītas normatīvajos aktos par Eiropas Savienības struktūrfondu un Kohēzijas fonda projektu pārbaužu veikšanas kārtību 2021.–2027. gada plānošanas periodā, un Eiropas Parlamenta un Padomes 2021. gada 24. jūnija Regulu (ES) 2021/1057, ar ko izveido Eiropas Sociālo fondu Plus (ESF+) un atceļ Regulu (ES) Nr. 1296/2013 1. pielikumu par kopējo iznākuma un rezultāta rādītāju apkopošanu" ar vārdiem "Eiropas Parlamenta un Padomes 2021. gada 24. jūnija Regulas (ES) Nr. 2021/1057, ar ko izveido Eiropas Sociālo fondu Plus (ESF+) un atceļ Regulu (ES) Nr. 1296/2013 I pielikumam un normatīvo aktu par Eiropas Savienības fondu projektu pārbaužu veikšanas kārtība 2021.–2027. gada plānošanas periodā 1.pielikumam". Vēršam uzmanību, ka šobrīd ietvertā redakcija attiecas uz ES struktūrfondu un Kohēzijas fonda 2014-2020.gada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Specifiskā atbalsta ietvaros projektu īsteno saskaņā ar vienošanos par projekta īstenošanu, bet ne ilgāk kā līdz 2029. gada 31. decembrim, ievērojot, ka šo noteikumu </w:t>
            </w:r>
            <w:r w:rsidR="00000000" w:rsidRPr="00000000" w:rsidDel="00000000">
              <w:rPr>
                <w:rtl w:val="0"/>
              </w:rPr>
              <w:t xml:space="preserve">16. </w:t>
            </w:r>
            <w:r w:rsidR="00000000" w:rsidRPr="00000000" w:rsidDel="00000000">
              <w:rPr>
                <w:rtl w:val="0"/>
              </w:rPr>
              <w:t xml:space="preserve">un </w:t>
            </w:r>
            <w:r w:rsidR="00000000" w:rsidRPr="00000000" w:rsidDel="00000000">
              <w:rPr>
                <w:rtl w:val="0"/>
              </w:rPr>
              <w:t xml:space="preserve">18. </w:t>
            </w:r>
            <w:r w:rsidR="00000000" w:rsidRPr="00000000" w:rsidDel="00000000">
              <w:rPr>
                <w:rtl w:val="0"/>
              </w:rPr>
              <w:t xml:space="preserve">punktā minētās kompensācijas piešķir līdz 2027.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noteikumu projekta 16. un 18. punktā minētās kompensācijas piešķir līdz 2027. gada 31. decembrim, nevis līdz projekta beigām, t.i. 2029.gada 31.decembrim, vai līdz brīdim, kad beidzās projektam pieejamais finansējums, kuru izmaksāt kompensācijās.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atbalsta piešķiršanas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projektu ar punktu, paredzot atgūšanas kārtību, ja tiktu konstatēts komercdarbības atbalsta pārkāpums.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konsatēts Komisijas lēmuma Nr. 2012/21/ES nosacījumu pārkāpums, valsts atbalsta saņēmējam (atbalstāmajai iestādei) ir pienākums atmaksāt atbalsta sniedzējam (Veselības ministrijai) visu projekta ietvaros saņemto nelikumīgo valsts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Grantiņa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kārtību, piešķiramas saskaņā ar </w:t>
            </w:r>
            <w:r w:rsidR="00000000" w:rsidRPr="00000000" w:rsidDel="00000000">
              <w:rPr>
                <w:rtl w:val="0"/>
              </w:rPr>
              <w:t xml:space="preserve">​</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nozīmipiemērošanu valsts atbalstam attiecībā uz kompensāciju par sabiedriskajiem pakalpojumiem dažiem uzņēmumiem, kuriem uzticēts sniegt pakalpojumus ar vispārēju tautsaimniecisku nozīmi (turpmāk – Komisijas lēmums Nr. 2012/21/ES), uzskatāma atbalstāmā iestāde, kurā tiks nodarbināts kompensācijas saņēmējs. Kompensācijas saņemšana neierobežo kompensācijas saņēmēja tiesības ārpus šo noteikumu </w:t>
            </w:r>
            <w:r w:rsidR="00000000" w:rsidRPr="00000000" w:rsidDel="00000000">
              <w:rPr>
                <w:rtl w:val="0"/>
              </w:rPr>
              <w:t xml:space="preserve">20.4.</w:t>
            </w:r>
            <w:r w:rsidR="00000000" w:rsidRPr="00000000" w:rsidDel="00000000">
              <w:rPr>
                <w:rtl w:val="0"/>
              </w:rPr>
              <w:t xml:space="preserve"> apakšpunktā minētajiem pienākumiem iesaistīties maksas veselības aprūpes pakalpojumu sniegšanā un citu saimniecisko darbību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noteikumos skaidri noteikt, ka iestāde, kas piešķir komercdarbības atbalstu atbilstoši Komisijas lēmumam Nr.2012/21/ES, ir Veselības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Grantiņa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46.</w:t>
            </w:r>
            <w:r w:rsidR="00000000" w:rsidRPr="00000000" w:rsidDel="00000000">
              <w:rPr>
                <w:rtl w:val="0"/>
              </w:rPr>
              <w:t xml:space="preserve"> punktā minētajām atbalstāmajām iestādēm, kas ir sabiedrisko pakalpojumu sniedzēji, atbilstoši veselības aprūpi reglamentējošajiem normatīvajiem aktiem ir pilnvarojums sabiedrisko pakalpojumu sniegšanai. Pilnvarojums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kurš sniedz pilnvarojumu atbalstāmajām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sabiedrisko pakalpojumu sniedzējam piešķirtās ekskluzīvās vai īpašās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47.4.apakšpunkta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noteikts deleģējums nodrošināt veselības aprūpes pakalpojumus valsts deleģētās funkcijas īstenošanai, nav uzskatāms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20.3. apakšpunktā noteikto, ka atbalstāmajai iestādei ir noslēgts līgums ar Nacionālo veselības dienestu par valsts apmaksāto veselības aprūpes pakalpojumu sniegšanu, nav skaidrs kādēļ 50.punktā tiek prezumēts, ka tas varētu nebūt komercdarbības atbalsts. Vēršam uzmanību, ka publiskais finansējums valsts apmaksāto veselības aprūpes pakalpojumu sniegšanā tiek nodrošināts ievērojot Komisijas lēmumu par Līguma par Eiropas Savienības darbību 106.panta 2.punkta piemērošanu valsts atbalstam attiecībā uz kompensāciju par sabiedriskajiem pakalpojumiem dažiem uzņēmumiem, kuriem uzticēts sniegt pakalpojumus ar vispārēju tautsaimniecisku nozīmi (2012/21/ES). Ievērojot izteikto iebildumu, lūdzam precizēt MK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projekta īstenošanai tiks piesaistīts 9.2.5. un 9.2.7. SAM personāls, kā arī ņemot vērā, ka 4.1.2.5. izmaksas ir attiecināmas no 2023.gada 1.jūlija, lūdzam papildināt anotācijas aprakstu ar informāciju, kā tiks novērsts dubultā finansējuma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apakšnodaļā "Specifiskā atbalsta plānotā ietekme", ietverto informāciju par atbildīgo iestādi, vēršam uzmanību, ka attiecīgās funkcijas pildīs Veselības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51.punkta norādīto, lūdzam anotācijas 1.3. sadaļā skaidrot, kāpēc šo noteikumu 18. punktā minētās vienreizējās kompensācijas izmaksas nav uzskatāmas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kurš noteiktu, ka projektā plānotajos iepirkumos tiek piemērots sociāli atbildīgs publiskais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papildināt MK noteikumus ar jaunu punktu, norādot plānoto atbalsta veidu - dotācijas ar nosacījumiem (atbilstoši Regulas Nr.2021/1060 57.pantam).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specifiskā atbalsta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1.2.apakšpunktā vārdus "specifiskā atbalsta" ar vārdu "pasākuma", ņemot vērā, ka noteikumu projektā noregulēta pasākuma ieviešanas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projektu iesniedzējam (turpmāk –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1.4.apakšpunktu ar frāzi "un finansējuma saņēmējam" pēc vārda "iesniedzējam", ņemot vērā, ka noteikumu projektā ir ietvertas prasības arī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projektu iesniedzējam (turpmāk –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vārdu "Plus" aiz vārda "fonda", ņemot vērā jaunajā plānošanas periodā noteikto attiecīgā fonda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Pasākumam pieejamais kopējais attiecināmais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 5 686 755 </w:t>
            </w:r>
            <w:r w:rsidR="00000000" w:rsidRPr="00000000" w:rsidDel="00000000">
              <w:rPr>
                <w:i w:val="1"/>
                <w:rtl w:val="0"/>
              </w:rPr>
              <w:t xml:space="preserve">euro</w:t>
            </w:r>
            <w:r w:rsidR="00000000" w:rsidRPr="00000000" w:rsidDel="00000000">
              <w:rPr>
                <w:rtl w:val="0"/>
              </w:rPr>
              <w:t xml:space="preserve">  nacionālais valsts budžeta finansējums – 1 003 545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9.punktu saskaņā ar Vadlīnijas projektu Ministru kabineta noteikumu par specifiskā atbalsta mērķa īstenošanu izstrādei Eiropas Savienības fondu 2021.—2027. gada plānošanas periodā, ņemot vērā Kohēzijas politikas fondu vadības informācijas sistēmā finansējuma sadaļas datu laukus un līdzšinējo pieredzi ar finansējuma datiem. Tāpat arī aicinām redakcionāli precizēt, ka valsts budžets ir līdzfinansējums un svītrot vārdu “nacionālais” saskaņā ar Eiropas Savienības fondu 2021.—2027. gada plānošanas perioda vadības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arī precizēt anotāciju, kā arī, ņemot vērā, ka MK noteikumu projektā nav noteikts elastības finansējumu, aicinām anotāciju papildināt ar informāciju par konkrētiem attiecīgās prioritātes un fonda specifiskajiem atbalsta mērķiem, kuru ietvaros tiks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9.Specifiskā atbalsta mērķa plānotais un pieejamais kopējais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5 686 755 </w:t>
            </w:r>
            <w:r w:rsidR="00000000" w:rsidRPr="00000000" w:rsidDel="00000000">
              <w:rPr>
                <w:i w:val="1"/>
                <w:rtl w:val="0"/>
              </w:rPr>
              <w:t xml:space="preserve">euro </w:t>
            </w:r>
            <w:r w:rsidR="00000000" w:rsidRPr="00000000" w:rsidDel="00000000">
              <w:rPr>
                <w:rtl w:val="0"/>
              </w:rPr>
              <w:t xml:space="preserve">un valsts budžeta līdzfinansējums 1 003 545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Pasākumam pieejamais kopējais attiecināmais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 5 686 755 </w:t>
            </w:r>
            <w:r w:rsidR="00000000" w:rsidRPr="00000000" w:rsidDel="00000000">
              <w:rPr>
                <w:i w:val="1"/>
                <w:rtl w:val="0"/>
              </w:rPr>
              <w:t xml:space="preserve">euro</w:t>
            </w:r>
            <w:r w:rsidR="00000000" w:rsidRPr="00000000" w:rsidDel="00000000">
              <w:rPr>
                <w:rtl w:val="0"/>
              </w:rPr>
              <w:t xml:space="preserve">  nacionālais valsts budžeta finansējums – 1 003 545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9.punktā un tās apakšpunktos frāzi "valsts budžeta finansējums" ar frāzi "valsts budžeta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Sociālā fonda Plus finansējums projektā nepārsniedz 85 procentus no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10.punktu saskaņā ar Vadlīnijas projektu Ministru kabineta noteikumu par specifiskā atbalsta mērķa īstenošanu izstrādei Eiropas Savienības fondu 2021.—2027. gada plānošanas periodā, lai nodrošinātu vienotu pieeju un novērstu pārpratumus.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Maksimālais Eiropas Sociālā fonda Plus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w:t>
            </w:r>
            <w:r w:rsidR="00000000" w:rsidRPr="00000000" w:rsidDel="00000000">
              <w:rPr>
                <w:rtl w:val="0"/>
              </w:rPr>
              <w:t xml:space="preserve"> apakšpunktā minētās atbalstāmās darbības attiecināmās izmaksas saskaņā ar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izmaksu vienoto likmi 13 procentu apmērā no pārējām šo noteikumu </w:t>
            </w:r>
            <w:r w:rsidR="00000000" w:rsidRPr="00000000" w:rsidDel="00000000">
              <w:rPr>
                <w:rtl w:val="0"/>
              </w:rPr>
              <w:t xml:space="preserve">33.</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atsaukties uz konkrētiem MK noteikumu punktiem, proti, MK noteikumu projekta 16., 18. un 19.punktu.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 Nr. 2021/1060</w:t>
            </w:r>
            <w:r w:rsidR="00000000" w:rsidRPr="00000000" w:rsidDel="00000000">
              <w:rPr>
                <w:rtl w:val="0"/>
              </w:rPr>
              <w:t xml:space="preserve"> 53. panta 1. punkta b) apakšpunktu un uz atbildīgās iestādes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 tiks noteikts kompensāciju apmērs, kuras noteiktas noteikumu projekta 16. un 18. punktā, un kuras aprakstītas anotācijā. Vai tās tiks noteiktas tikai vienas vienības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 Nr. 2021/1060</w:t>
            </w:r>
            <w:r w:rsidR="00000000" w:rsidRPr="00000000" w:rsidDel="00000000">
              <w:rPr>
                <w:rtl w:val="0"/>
              </w:rPr>
              <w:t xml:space="preserve"> 53. panta 1. punkta b) apakšpunktu un uz atbildīgās iestādes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redakcionāli pārskatīt 16.un 18.punktā norādīto informāciju, norādot, ka izmaksas tiks attiecinātas, piemērojot atbildīgās iestādes izstrādāto vienkāršoto izmaksu metodiku, kas saskaņota ar vadošo iestādi, savukārt precīzāk par plānoto vienkāršoto izmaksu veidu, aicinām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 Nr. 2021/1060</w:t>
            </w:r>
            <w:r w:rsidR="00000000" w:rsidRPr="00000000" w:rsidDel="00000000">
              <w:rPr>
                <w:rtl w:val="0"/>
              </w:rPr>
              <w:t xml:space="preserve"> 53. panta 1. punkta b) apakšpunktu un uz atbildīgās iestādes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noteikumu projekta 16.punktu un, ja attiecināms, precizēt redakciju, aizstājot vārdus "ārstniecības personām" ar vārdiem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 Nr. 2021/1060</w:t>
            </w:r>
            <w:r w:rsidR="00000000" w:rsidRPr="00000000" w:rsidDel="00000000">
              <w:rPr>
                <w:rtl w:val="0"/>
              </w:rPr>
              <w:t xml:space="preserve"> 53. panta 1. punkta b) apakšpunktu un uz atbildīgās iestādes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izstrādā vienkāršoto izmaksu metodiku, līdz ar to aicinām precizēt vārdus “izstrādātajām vienas vienības izmaksām” ar vārdiem “izstrādāto vienkāršoto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Baha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ārsts un zobārsts, t.sk. ja ārsts vēlas strādāt noteiktajā specialitātē, papildus nepieciešams sertifikāts atbilstošajā specialitātē;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16.1.apakšpunktā ietvertā tiesību norma nav viennozīmīgi saprotama, tādēļ lūdzam skaidrot, vai rezidenti, kas nav sertificēti kādā no specialitātēm, arī var pretendēt uz kompensāciju, un izvērtēt nepieciešamību precizēt šī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ilgāk kā trīs mēnešu periodam un kura tiek noteikta pamatojoties uz </w:t>
            </w:r>
            <w:r w:rsidR="00000000" w:rsidRPr="00000000" w:rsidDel="00000000">
              <w:rPr>
                <w:rtl w:val="0"/>
              </w:rPr>
              <w:t xml:space="preserve">Regulas Nr. 2021/1060</w:t>
            </w:r>
            <w:r w:rsidR="00000000" w:rsidRPr="00000000" w:rsidDel="00000000">
              <w:rPr>
                <w:rtl w:val="0"/>
              </w:rPr>
              <w:t xml:space="preserve"> 3. panta 1. punkta b) apakšpunktu un uz atbildīgās iestādes izstrādātajām vienas vienības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18.punktu, ņemot vērā, ka Regulas Nr. 2021/1060 3. pantā nav 1. punkta b)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14.4.</w:t>
            </w:r>
            <w:r w:rsidR="00000000" w:rsidRPr="00000000" w:rsidDel="00000000">
              <w:rPr>
                <w:rtl w:val="0"/>
              </w:rPr>
              <w:t xml:space="preserve"> apakšpunktā minētā atbalstāmā darbība ietver informācijas un publicitātes nodrošināšanas izmaksas atbilstoši normatīvajiem aktiem par kārtību, kādā Eiropas Savienības struktūrfondu un Kohēzijas fonda ieviešanā 2021. – 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visas projektā paredzētās attiecināmās izmaksas tiek segtas, piemērojot vienkāršotās izmaksas, aicinām arī informācijas un publicitātes nodrošināšanas izmaksām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kontrolētu šo noteikumu </w:t>
            </w:r>
            <w:r w:rsidR="00000000" w:rsidRPr="00000000" w:rsidDel="00000000">
              <w:rPr>
                <w:rtl w:val="0"/>
              </w:rPr>
              <w:t xml:space="preserve">20.4.</w:t>
            </w:r>
            <w:r w:rsidR="00000000" w:rsidRPr="00000000" w:rsidDel="00000000">
              <w:rPr>
                <w:rtl w:val="0"/>
              </w:rPr>
              <w:t xml:space="preserve"> apakšpunktā ietverto prasību izpildi, atbalstāmās iestādes sniedz informāciju par kompensācijas saņēmēja darba apjomu valsts apmaksāto veselības aprūpes pakalpojumu sniegšanā piecus gadus kopš šo noteikumu </w:t>
            </w:r>
            <w:r w:rsidR="00000000" w:rsidRPr="00000000" w:rsidDel="00000000">
              <w:rPr>
                <w:rtl w:val="0"/>
              </w:rPr>
              <w:t xml:space="preserve">21.</w:t>
            </w:r>
            <w:r w:rsidR="00000000" w:rsidRPr="00000000" w:rsidDel="00000000">
              <w:rPr>
                <w:rtl w:val="0"/>
              </w:rPr>
              <w:t xml:space="preserve"> punktā minētā kompensācijas līguma parakstīšanas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MK noteikumu 28.punktu, nosakot, ka informācija iesniedzama pēc finansējuma saņēmēja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14.</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w:t>
            </w:r>
            <w:r w:rsidR="00000000" w:rsidRPr="00000000" w:rsidDel="00000000">
              <w:rPr>
                <w:rtl w:val="0"/>
              </w:rPr>
              <w:t xml:space="preserve">33.</w:t>
            </w:r>
            <w:r w:rsidR="00000000" w:rsidRPr="00000000" w:rsidDel="00000000">
              <w:rPr>
                <w:rtl w:val="0"/>
              </w:rPr>
              <w:t xml:space="preserve"> punktā minētajām tiešajām personāla atlīdzības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atsaukties uz MK noteikumu projekta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minētās izmaksas veido projekta tiešās attiecināmās izmaksas, šo noteikumu </w:t>
            </w:r>
            <w:r w:rsidR="00000000" w:rsidRPr="00000000" w:rsidDel="00000000">
              <w:rPr>
                <w:rtl w:val="0"/>
              </w:rPr>
              <w:t xml:space="preserve">15.</w:t>
            </w:r>
            <w:r w:rsidR="00000000" w:rsidRPr="00000000" w:rsidDel="00000000">
              <w:rPr>
                <w:rtl w:val="0"/>
              </w:rPr>
              <w:t xml:space="preserve"> ​​​​​​​punktā minētās izmaksas veido projekta tiešās attiecināmās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33.punktā vārdus "projekta tiešās attiecināmās izmaksas" aizstāt ar vārdiem "pārējās projekta tiešās attiecināmās īstenošanas izmaksas", ņemot vērā, ka arī personāla izmaksas ir uzskatāmas par 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pēc nepieciešamības, bet ne retāk ne retāk kā reizi pusgadā izvērtē Cilvēkresursu plāna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35.2.apakšpunktā vārdus "ne retāk", ņemot vērā, ka tie atkārtojās vairākas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nodrošina, lai informācija par kompensācijas saņemšanu būtu publiski pieejama internetā, un nodrošina iespēju anonīmi izteikt iebildumus un ierosinājumus par atbalsta pasākumiem, kā arī ne retāk kā reizi trijos mēnešos ievieto aktuālo informāciju par projekta īstenošanu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rīcība ir plānota ar anonīmi izteiktiem iebildumiem vai ierosinājumiem.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Specifiskā atbalsta ietvaros projektu īsteno saskaņā ar vienošanos par projekta īstenošanu, bet ne ilgāk kā līdz 2029. gada 31. decembrim, ievērojot, ka šo noteikumu </w:t>
            </w:r>
            <w:r w:rsidR="00000000" w:rsidRPr="00000000" w:rsidDel="00000000">
              <w:rPr>
                <w:rtl w:val="0"/>
              </w:rPr>
              <w:t xml:space="preserve">16. </w:t>
            </w:r>
            <w:r w:rsidR="00000000" w:rsidRPr="00000000" w:rsidDel="00000000">
              <w:rPr>
                <w:rtl w:val="0"/>
              </w:rPr>
              <w:t xml:space="preserve">un </w:t>
            </w:r>
            <w:r w:rsidR="00000000" w:rsidRPr="00000000" w:rsidDel="00000000">
              <w:rPr>
                <w:rtl w:val="0"/>
              </w:rPr>
              <w:t xml:space="preserve">18. </w:t>
            </w:r>
            <w:r w:rsidR="00000000" w:rsidRPr="00000000" w:rsidDel="00000000">
              <w:rPr>
                <w:rtl w:val="0"/>
              </w:rPr>
              <w:t xml:space="preserve">punktā minētās kompensācijas piešķir līdz 2027.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45.punktu ar vārdiem "finansējuma saņēmējs" aiz vārda "ietvaros". Papildus lūdzam aizstāt noteikumu projekta 45.punktā vārdus "Specifiskā atbalsta" ar vārdu "Pasākuma", ņemot vērā, ka projekts tiek īstenots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kārtību, piešķiramas saskaņā ar </w:t>
            </w:r>
            <w:r w:rsidR="00000000" w:rsidRPr="00000000" w:rsidDel="00000000">
              <w:rPr>
                <w:rtl w:val="0"/>
              </w:rPr>
              <w:t xml:space="preserve">​</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nozīmipiemērošanu valsts atbalstam attiecībā uz kompensāciju par sabiedriskajiem pakalpojumiem dažiem uzņēmumiem, kuriem uzticēts sniegt pakalpojumus ar vispārēju tautsaimniecisku nozīmi (turpmāk – Komisijas lēmums Nr. 2012/21/ES), uzskatāma atbalstāmā iestāde, kurā tiks nodarbināts kompensācijas saņēmējs. Kompensācijas saņemšana neierobežo kompensācijas saņēmēja tiesības ārpus šo noteikumu </w:t>
            </w:r>
            <w:r w:rsidR="00000000" w:rsidRPr="00000000" w:rsidDel="00000000">
              <w:rPr>
                <w:rtl w:val="0"/>
              </w:rPr>
              <w:t xml:space="preserve">20.4.</w:t>
            </w:r>
            <w:r w:rsidR="00000000" w:rsidRPr="00000000" w:rsidDel="00000000">
              <w:rPr>
                <w:rtl w:val="0"/>
              </w:rPr>
              <w:t xml:space="preserve"> apakšpunktā minētajiem pienākumiem iesaistīties maksas veselības aprūpes pakalpojumu sniegšanā un citu saimniecisko darbību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46.punkta redakciju, ņemot vērā, ka divas reizes atkārtojas vārdi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informāciju, par veselības nozares pārstāvošu biedrību, nodibinājumu, nevalstisko organizāciju iesaisti noteikumu projekta izstrādē, ņemot vērā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 Pašreizējā situācija, problēmas un risinājumi " ar informāciju, kuros pasākumos paredzēts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elastības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4.1.2.5.pasākuma mērķa grupu starp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grupai jābūt ārstniecības personām vai ārstniecības personām un ārstniecības atbalsta personām, nevis jau piesaistītās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4.1.2.5.pasākuma finansējuma sadalījumu pa intervences kodiem, kā tas noteikts Eiropas Savienības Kohēzijas politikas programmas 2021. – 2027. gadam papildinājumā.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aprakstu kā 4.1.2.5.pasākuma ietvaros īstenotais projekts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1.3.sadaļas punktā “Pašreizējā situācija” (10.-11.lpp) ir norādīti vienas vienības izmaksu standarta likmes kā vienreizēju kompensāciju apmēri ārstniecības personām un ģimenes ārstiem, kas nodod savu ģimenes ārsta praksi, lūdzam izvērtēt vienreizējās kompensācijas ārstniecības personai un ģimenes ārstam apmēra iekļaušanu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pārskatīt, vai nav nepieciešams precizēt māsu palīgam paredzēto likmi uz 9 500,00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norādīt, ka likmes apmēri (gan vienreizējās kompensācijas ārstniecības personām par piesaisti darbam veselības aprūpes sistēmā, gan vienreizēja kompensācija ģimenes ārstam, kurš nodod savu ģimenes ārsta praksi) ir indikatīvi, tā kā metodika vēl nav saskaņota ar 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teikumu "Ārstniecības persona uz kompensāciju var pretendēt vienu reizi projekta īstenošanas periodā." precizēt šādi: "Ārstniecības persona kompensāciju var saņemt vienu reizi projekta īstenošanas periodā.", atbilstoši MK noteikumu 30.punktam, lai gadījumā, ja persona pretendē, bet kaut kādu iemeslu dēļ kompensācija netiek piešķirta, netiktu ierobežota pēc kāda laika pretendēt atkārtoti.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teikuma daļu "Atbildīgās iestādes, t.i. Centrālās finanšu un līgumu aģentūras", ņemot vērā, ka CFLA pilda sadarbības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vārdus "ERAF finansējums" aizstāt ar vārdiem un zīmi "ESF+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teikuma daļā "Lai nodrošinātu, ka sniegtais atbalsts tiek izmantots lietderīgi un sniedz pozitīvu ietekmi veselības aprūpes pakalpojumu pieejamības uzlabošanu visā Latvijas", aiz vārda "Latvijas" papildināt ar vārdu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teikuma daļā  "4.1.2.5. pasākumu īsteno saskaņā ar līgumu par projekta īstenošanu" vārdu "līgumu" aizstāt ar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4.1.2.5. pasākuma iznākuma rādītāju (darbības programmas rādītājs r.4.1.2.a) labot uz i.4.1.2.a.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1.3.apakšsadaļas apakšnodaļā "Specifiskā atbalsta plānotā ietekme" frāzi "ES Kohēzijas politikas programmas 2021. - 2027. gadam" ar "Eiropas Savienības kohēzijas politikas programmas 2021. - 2027. gadam", ņemot vērā, ka nosaukumā, šajā gadījumā progrmmas nosaukumā, nelieto iepriekš noteiktos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1.3.apakšsadaļā pilno OECD nosaukumu, ņemot vērā, ka iepriekš netika atrunāts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likumam “Par valsts budžetu 2023.gadam un budžeta ietvaru 2023., 2024. un 2025. gadam” VM budžeta apakšprogrammai 63.07.00 nosaukums ir  “Eiropas Sociālā fonda (ESF) projektu īstenošana (2014-2020), savukārt anotācijas 3.sadaļas 6.punktā “Detalizēts ieņēmumu un izdevumu aprēķins” norādīts „Eiropas Sociālā fonda Plus (ESF+) projektu īstenošana (2021-2027)”, lūdzam precizēt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Labklājības ministrijas izstrādātajām vadlīnijām "Horizontālais princips “Vienlīdzība, iekļaušana, nediskriminācija un pamattiesību ievērošana” vadlīnijas īstenošanai un uzraudzībai (2021-2027)" pasākumam ir netieša ietekme uz horizontālo principu “Vienlīdzība, iekļaušana, nediskriminācija un pamattiesību ievērošana”, kas nosaka, ka pasākuma ietvaros ir jāplāno vismaz 3 vispārīgās un 3 specifiskās HP “Vienlīdzība, iekļaušana, nediskriminācija un pamattiesību ievērošana”" darbības. Lūdzam ar šo informāciju papildināt anotāciju. Tāpat lūdzam papildināt anotāciju ar informāciju par pasākuma ietekmi uz horizontālajiem principiem "Klimatdrošināšana",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8.1.13.apakšsadaļu, ņemot vērā noteikumu projekta 43.punktā apakšpunktos noteikto par datu uzkrāšanu par projekta ietvaros kompensāciju saņēmušajām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12.05.2023.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12.05.2023.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Atzinumi_23-TA-973.docx</dc:title>
</cp:coreProperties>
</file>

<file path=docProps/custom.xml><?xml version="1.0" encoding="utf-8"?>
<Properties xmlns="http://schemas.openxmlformats.org/officeDocument/2006/custom-properties" xmlns:vt="http://schemas.openxmlformats.org/officeDocument/2006/docPropsVTypes"/>
</file>