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akcīzes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Speciāla atļauja (licence) nav nepieciešama darbībām ar tādām akcīzes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kuras atrodas ārpus Latvijas Republikas teritorijas un nav paredzēts tās importēt, ievest vai saņemt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 kurām attiecas šā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kuras pārvieto cauri Latvijas Republikas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kuras nelicencēta persona izved no citai personai piederošas akcīzes preču noliktavas uz dalībvalsti, eksportē, realizē nelicencētai personai noliktavas robežās vai citā akcīzes preču noliktavā, vai realizē noliktavas turētājam;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naftas produktiem, kurus no citai personai piederošas akcīzes preču noliktavas realizē Centrālā krājumu uzturēšanas struktūra kā drošības rezerves."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Enerģētikas likuma 1. panta pirmās daļas 6. punktam par drošības rezervēm tiek uzskatīti "valsts īpašumā esošie naftas produkti noteiktā apjomā, ko uztur kā rezervi, lai enerģētiskās krīzes laikā Latvijas Republikā nodrošinātu apgādi ar naftas produktiem vai Starptautiskās Enerģētikas aģentūras aktivizētu koordinētu ārkārtas reaģēšanas pasākumu gadījumā novērstu nopietnus piegādes traucējumus, kas ietekmē pasaules naftas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naftas produktu ķīmiskās īpašības, tām ir nepieciešama regulāra atjaunošana (rotācija). Kas nozīmē, ka naftas produkti tiks realizēti ne tikai krīzes laikā, bet arī, lai saglabātu to kvalitāti un ķīmiskās īpašības.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5. punktā vārdus:  “kā drošības rezerves”,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nākotnes perspektīvas par savas infrastruktūras attīstīšanu, tādējādi dodot iespējas Possessor realizēt naftas produktu drošības rezerves arī no savas noliktavas krīzes vai valsts apdraudējuma gadījumā un rotācijas vajadzībām, svītrot “citai personai piederošas”.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naftas produktiem, kurus no akcīzes preču noliktavas realizē Centrālā krājumu uzturēšanas struktūra.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Karlīna Lipska (Possessor)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detalizēti skaidrot terminu “citas preces”, vai tās var būt preces, kas ir legālas citās valstīs, bet ne Latvijā, vai šīs preces attiecas arī uz jebkurām precēm, kurās izmanto tabaku kā sastāvdaļu, piemēram, medicīnas vai kosmētikas izstrādājumu ražošanā u.tml. Tāpat lūdzam skaidrot, kā tiks kontrolēts, vai tabakas izstrādājumi tiešām tiek izmantoti tikai citu preču ražošanai, nevis, piemēram, preces novirzot tirgū kā akcīzes preces.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Nalivaiko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Atzinumi_24-TA-82.docx</dc:title>
</cp:coreProperties>
</file>

<file path=docProps/custom.xml><?xml version="1.0" encoding="utf-8"?>
<Properties xmlns="http://schemas.openxmlformats.org/officeDocument/2006/custom-properties" xmlns:vt="http://schemas.openxmlformats.org/officeDocument/2006/docPropsVTypes"/>
</file>