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atkrastes vēja parku Latvijas teritoriālajā jūrā un Latvijas – Igaunijas ceturto starpsavienojumu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 precizēts)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teritoriālajā jūrā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atbilstoši Ministru kabineta 2021. gada 7. septembra noteikumu Nr. 606 “Ministru kabineta kārtības rullis” (turpmāk – MK kārtības rullis) 55. punktam atzinuma sniegšanas termiņš vispārējā kārtībā ir 10 dienas, bet steidzamības kārtībā trīs darbdienas, kuras šādā gadījumā jāpamato pēc būtības. Atbilstoši MK kārtības ruļļa 56. punktam atzinuma sniegšana sākas nākamajā darbdienā pēc projekta novirzīšanas saskaņošanai TAP portālā. Ņemot vērā minēto, Regulatora ieskatā, Ekonomikas ministrija nav ievērojusi MK kārtības rullī noteikto (nav pamatojusi steidzamības kārtības nepieciešamību, kā arī 3 dienu vietā ir atzinuma sniegšanas termiņu samazinājusi uz 2 dienām), tādējādi ierobežojot iespēju veikt kvalitatīvu atzinuma sagatavošanu.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Ceturtā starpsavienojuma izpētes, ietekmes uz vidi, projektēšanas un būvniecības izmaksas elektroenerģijas pārvades sistēmas operators finansē,  piesaistot Eiropas Savienības vai cita ārvalstu finanšu instrumenta līdzekļus, bet atlikušo daļu sedzot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uzskata, ka būtu jāņem vērā arī tās darbības, kas ir noteiktas ar Eiropas parlamenta un padomes 2022. gada 30. maija regulu 2022/869 par Eiropas energoinfrastruktūras pamatnostādnēm un ar ko groza Regulas (EK) Nr. 715/2009, (ES) 2019/942 un (ES) 2019/943 un Direktīvas 2009/73/EK un (ES) 2019/944 un atceļ Regulu (ES) Nr. 347/2013 (turpmāk – Regula 2022/869):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5. panta pirmajā daļā noteiktais ir Regulatora kompetences jautājums, kā arī ir saistīts ar to, kā sniedz un izvērtē projekta attīstītāju iesniegtos projektus atbilstoši Regulai 2022/869.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Ceturtā starpsavienojuma projekta sekmīgai realizācijai un finansējuma saņemšanai no Eiropas Savienības fondiem (The Connecting Europe Facility (CEF)) būs nepieciešami Latvijas un Igaunijas regulatīvo iestāžu lēmumi par pārrobežu izmaksu sadali projektam. Atbilstoši Regulas 2022/869 16. pantam lēmumā par pārrobežu izmaksu sadali ir jāietver izvērtējums par konstatēto ietekmi uz katru no attiecīgajām dalībvalstīm, tostarp ietekmi, kas saistīta ar tīkla tarifiem.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iepriekš minēto, Regulators norāda, ka to, vai un kā ceturtā starpsavienojuma izmaksas tiks segtas, noteiks lēmums par pārrobežu izmaksu sadali atbilstoši Regulai 2022/869, ievērojot preambulā ietverto, izmaksu sadalījumā būtu jānodrošina, ka netiek uzlikts pārmērīgs slogs galalietotājiem, jo īpaši gadījumā, ja tas var novest pie enerģētiskās nabadzības.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Regulators rosina Likumprojektā ielikt atsauci uz Regulu 2022/869.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likumprojekta 2.pantā ietvertais likuma mērķis ir par plašu, ņemot vērā, ka likums veicina vienīgi viena, konkrēta projekta attīstību nevis enerģētisko neatkarību, drošību un ilgtspēju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Regulators ierosina likumprojekta 2.pantu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“2.pants Likuma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veicināt ELWIND projekta ieviešanu un radīt tiesiskus priekšnosacījumus ceturtā starpsavienojuma izveidei, darbībai un finansēšanai, īstenojot ELWIND projektu un ceturto starpsavienojumu kā savstarpēji saistītu hibrīdprojektu, tādējādi vairojot Latvijas enerģētisko neatkarību, drošību, ilgtspēju un elektroenerģijas ražošanu no atjaunojamiem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papildinājums būtu attiecināms arī uz anotācijas pamattekstā ietverto norādi par likuma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Jūras vides pārvaldības un aizsardzības likums, Enerģētikas likums, Elektroenerģijas tirgus likums un Teritorijas attīstības plānošanas likums attiecībā uz ELWIND projektu un Ceturto starpsavienojumu piemērojami tiktāl, cik tas ir savienojami ar šajā likumā iekļauto speciālo tiesisko regulējumu.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izvērtēt likumprojekta 3.panta trešajā daļā ietvertās tiesību normas lietderību, jo tajā minētais izriet no tiesību normu piemērošanas vispārējā regulējuma (Administratīvā procesa likuma 15.panta septītā daļa, Oficiālo publikāciju un tiesiskās informācijas likuma 9.panta sestās daļas 2.punkts).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ELWIND projektu īsteno Latvijas teritoriālajā jūrā atkrastes vēja parku izpētes zonā 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likumprojekta 4.panta pirmo daļu pēc vārdiem “zonā E4” papildināt ar vārdiem “saskaņā ar šā likuma pielikumu”, jo ne likumprojekta pamattekstā, ne definīcijās, ne arī kādā citā normatīvajā aktā nav ietverts skaidrojums par to, ko nozīmē “izpētes zona E4”.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Ceturtajam starpsavienojumam, ieskaitot visu to veidojošo infrastruktūru Latvijas teritoriālajā jūrā un uz sauszemes Latvijā, tiek noteikts nacionālo interešu objekta statuss.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izvērtēt likumprojekta 5.panta otrajā daļā ietvertās tiesību normas lietderību, ņemot vērā, ka minētais jau ir ietverts likumprojekta 4.panta trešajā daļā. Gadījumā, ja Regulatora ieteikums tiek ņemts vērā un tiesību norma tiek svītrota, likumprojekta 5.pantā nav jāietver panta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nolikumā noteiktajā apmērā, termiņā un kārtībā segt izsoles  maksu un izsoles līgumā noteiktā termiņa noslēgumā demontēt ELWIND atkrastes vēja parku un Attīstītāja izbūvēto infrastruktūru, ciktāl šis pienākums ir noteikts izsoles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6.panta sestajā daļā ir ietverts jēdziens “izsoles laukums”, kas nav skaidrots kopējā likumprojekta tekstā. Tiesību normas skaidrības nodrošināšanai Regulators aicina to precizēt. Tāpat Regulators vērš uzmanību, ka minētā panta daļa noteic, ka attīstītājam ir pienākums izsoles nolikumā noteiktajā apmērā (..) demontēt (..) infrastruktūru, ciktāl šis pienākums ir noteikts izsoles līgumā. Regulatora ieskatā, šāda tiesību norma nerada skaidrību un tiesisko noteiktību, kā arī neietver juridisko slodzi, ņemot vērā, ka izsoles līgumā šāds pienākums var arī netikt paredzēts. Saistībā ar minēto jāvērš uzmanība, ka normatīvajos aktos nav noteiktas ne izsoles līgumā, ne izsoles nolikumā ietveramās obligātās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Attīstītājs izsoles noteikumos noteiktajā apmērā, kārtībā un termiņā izsoles noteikumos norādītajam adresātam atlīdzina izmaksas par Latvijas teritoriālajā jūrā un uz sauszemes Latvijā izvietoto apakšstaciju, ja tāda pirms izsoles tikusi izveidota ELWIND atkrastes vēja parka vajadzībām, un pieslēguma sauszemes pastiprinājumu projektēšanu un izbūvi. Attīstītājs apmaksā radiālā pieslēguma izbūvi un ELWIND projekta pieslēgšanu Latvijas pārvades sistēmai Latvijas teritoriālajā jūrā un uz sauszemes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6.panta septītajā daļā ir ietverts jēdziens “izsoles noteikumi”, kas likumprojekta pamattekstā nav skaidrots. Ievērojot minēto, Regulators aicina minēto tiesību normu precizēt, lai nodrošinātu nepārprotamu izpratni par to, ar ko atšķiras “izsoles noteikumi” no “izsoles nolikuma” un “izsoles līguma”.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anotācijā ietvertais mērķis ir par plašu, ņemot vērā, ka likums veicina vienīgi viena, konkrēta projekta attīstību nevis enerģētisko neatkarību, drošību un ilgtspēju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veicināt ELWIND projekta ieviešanu un radīt tiesiskus priekšnosacījumus ceturtā starpsavienojuma izveidei, darbībai un finansēšanai, īstenojot ELWIND projektu un ceturto starpsavienojumu kā savstarpēji saistītu hibrīdprojektu, tādējādi vairojot Latvijas enerģētisko neatkarību, drošību, ilgtspēju un elektroenerģijas ražošanu no atjaunojamiem energoresursiem.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19.06.2024. 19.59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19.06.2024. 19.59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Atzinumi_23-TA-1030.docx</dc:title>
</cp:coreProperties>
</file>

<file path=docProps/custom.xml><?xml version="1.0" encoding="utf-8"?>
<Properties xmlns="http://schemas.openxmlformats.org/officeDocument/2006/custom-properties" xmlns:vt="http://schemas.openxmlformats.org/officeDocument/2006/docPropsVTypes"/>
</file>