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veiktas izmaiņas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vienībās (32.6., 32.12., 18.1.4. apakšpunktā), ar kurām iepriekš ieviestas Eiropas Parlamenta un Padomes 2021. gada 12. februāra regula Nr. 2021/241, ar ko izveido Atveseļošanas un noturības mehānismu, prasības, lūdzam aizpildīt noteikumu projekta anotācijas 5. sadaļu ar informāciju par minēto regulas prasību ieviešanu,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Prokuratūra novērtē rīkojuma projekta saturu saskaņā ar šo noteikumu 16.1. apakšpunktā minētajiem kritērijiem un iesniedz apliecinājumu saskaņā ar šo noteikumu 16.2. apakšpunktu Tieslietu ministrijai. Tieslietu ministrija rīkojuma projektu virza saskaņošanai Vienotajā tiesību aktu projektu izstrādes un saskaņošanas portālā un pēc saskaņošanas iesniedz Valsts kancelejā;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nedublēt (neskaidrot) Ministru kabineta rīkojuma projektu izstrādes un saskaņošanas kārtību, ko regulē Ministru kabineta 2021. gada 7. septembra noteikumi Nr. 606 "Ministru kabineta kārtības rullis", nepieciešamības gadījumā izdarot atbilstošu atsauci uz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investīcijas 2.1.2.1.i. nolūka "Pašvaldību pakalpojumu digitālā transformācija un pašvaldību atbalsta procesu modernizācija un centralizācija" īstenojamiem projektiem šo noteikumu 16.2. apakšpunktā noteikto apliecinājumu iesniedz pašvaldība – finansējuma saņēmēja (ja attiecināms) vai nozares ministrija (ja attiecināms), pievienojot: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 punktā skaidri norādīt, kādos gadījumos apliecinājumu iesniedz pašvaldība – finansējuma saņēmēja, bet kādos - nozares ministrija un kam šis apliecinājums tiek iesniegts, ņemot vērā, ka šo noteikumu 16.2. apakšpunktā ir runa par rīkojuma projekta, nevis apliecinājuma iesniegšanu. Kā arī lūdzam papildināt noteikumu projekta anotāciju ar skaidrojumu par noteikumu projekta 31.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32.4.5. datu pārraides tīklu iekārtu iegādes un atbalsta izmaksas datu savienojumu vai datu transformācijas pieslēguma nodrošināšanai valsts pārvaldes federētajam mākonim, tai skaitā optisko šķiedru kabeļu nomas izmaksas periodā, kas nepārsniedz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noteikumu projekta 37. punktā vai tā anotācijā skaidrot, kas ir domāts ar atbalsta izmaksām. Kā arī lūdzam izvērtēt un minētajā punktā izsmeļoši norādīt attiecināmās izmaksas, izvairoties no norādes "tai skaitā". Vēršam uzmanību, ka konkrētus ierobežojumus, piemēram, nomas izmaksas periods u.tml. atbilstoši pamattiesībām zināt savas tiesības varētu būt pamatoti piemērot vienīgi gadījumā, ja šādi ierobežojumi tiek tiešā tekstā norādīti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2.1.1.1.i. nolūka “Valsts pārvaldes IKT attīstības projektu programmu un arhitektūras pārvaldība” projekta ietvaros šo noteikumu 31.5. apakšpunktā minēto atbalstāmo darbību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32.12. apakšpunktā norādīt konkrētas attiecināmo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esoša kapacitāte projekta īstenošanas aktivitāšu īstenošanai ar organizācijas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 punktu, kura būtība un jēga nav skaidri saprotama, proti, cita starpā nav skaidrs, kam, jābūt kapacitātei (kurā brīdī jābūt kapacitātei, ņemot vērā vārdu "esoša"), kāda organizācija šajā punktā ir domāta, kā arī - kādai jābūt kapacitātei. Vienlaikus norādām, ka nav redakcionāli korekti attiecīgo normu konstruēt tādējādi, ka tiek paredzēts, ka ierobežojumu projekta vadības un īstenošanas personāla atlīdzības izmaksām nepiemēro gadījumos, ja finansējuma saņēmējam ir kapacitāte projekta aktivitāšu īstenošanai (proti, pēc būtības - ja finansējuma saņēmējam ir projekta īstenošanas personāls), tādēļ 43. punktā ietverto regulējumu nepieciešams precizēt arī redakcionāli (piemēram, 43. punktu svītrojot un paredzot izņēmumu pie noteikumu projekta normas, kas noteic projektu īstenošanas personāla izmaksu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kā paredzot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kā plānot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21.12.2023.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21.12.2023.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