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Pasākumā sniegtais atbalsts par vienām un tām pašām izmaksām nevar pārklāties ar atbalstu no citiem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5.punktu, jo no noteikumu projekta kopumā nav skaidrs, kā jāsaprot nosacījums "pārklāties ar atbalstu no citiem atbalsta pasākumiem". Piemēram, noteikumu projekta 44.punkts paredz, ka pasākuma ietvaros piešķirto atbalstu pie noteiktiem nosacījumiem </w:t>
            </w:r>
            <w:r w:rsidR="00000000" w:rsidRPr="00000000" w:rsidDel="00000000">
              <w:rPr>
                <w:u w:val="single"/>
                <w:rtl w:val="0"/>
              </w:rPr>
              <w:t xml:space="preserve">var apvienot</w:t>
            </w:r>
            <w:r w:rsidR="00000000" w:rsidRPr="00000000" w:rsidDel="00000000">
              <w:rPr>
                <w:rtl w:val="0"/>
              </w:rPr>
              <w:t xml:space="preserve"> ar citu atbalstu. Vēršam uzmanību, ka noteikumu projekta 5.punkts iekļauts noteikumu projekta I nodaļā "Vispārīgie jautājumi", t.i., tas attiecas uz visiem noteikumu projektā paredzētajiem atbalsta pasākumiem. Līdz ar to nepieciešams nodrošināt, lai noteikumu projekta normas nenonāk savstarpējā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ar Zemkopības ministrijas atbildīgo departamentu saskaņotu iesniegumu, kas ietver to starptautisko izstāžu aprakstu, kurās institūts plāno organizēt kopstendus, norādot starptautisko izstāžu norises vietu un laiku, to izvēles pamatojumu, kā arī prognozējamos rezultātus, kas vērsti uz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"Zemkopības ministrijas atbildīgo departamentu" aizstāt ar vārdiem "Zemkopības ministriju". Vēršam uzmanību, ka Ministru kabineta noteikumos nebūtu jāregulē ar ministrijas struktūru un dokumentu iekšējo apriti saistīti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tiek konstatēts, ka ir pārkāptas regulas Nr.1407/2013 vai  regulas Nr.1408/2013 prasības, atbalsta saņēmējam ir pienākums atmaksāt atbalsta sniedzējam visu atbalsta pasākumā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izvērtēt, vai tiesiskās skaidrības nolūkos termins "valsts atbalsts" (lietots Līgumā par Eiropas Savienīgas darbību un sekundārajos Eiropas Savienības tiesību aktos) nav aizstājams ar Komercdarbības atbalsta kontroles likumā lietoto terminu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savstarpēji precizēt noteikumu projekta 17.4.apakšpunktu, 48.punktu, 64.4.apakšpunktu un 84.punktu, nodrošinot, ka noteikumu projekta tekstā atbilstoši Ministru kabineta 2009. gada 3. februāra noteikumu Nr. 108 "Normatīvo aktu projektu sagatavošanas noteikumi" 2.3.apakšpunkta prasībām noteikumu projektā tiek ievērota vienota stilistika, izmantojot vienveidīgas un standartizētas vārdiskās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Pretendents izvēlas programmā paredzēto pasākumu izpildītāju (turpmāk – pasākumu izpildītājs) saskaņā ar Latvijas Republikas normatīvajos aktos paredzēto kārtību par iepirkuma procedūrām pasūtītāja finansētiem projektiem, ņemot vērā pasākumu izpildītāja tehniskās iemaņas un pieredzi līdzīgu pasākumu īstenošanā. Pretendents ir tiesīgs pats īstenot programmā plānotos pasākumus, ja tam ir vismaz trīs gadu pieredze līdzīgu pasākumu īstenošanā.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vārdus "saskaņā ar Latvijas Republikas normatīvajos aktos paredzēto kārtību par iepirkuma procedūrām pasūtītāja finansētiem projektiem" aizstāt ar vārdiem "saskaņā ar normatīvajiem aktiem par iepirkuma procedūru un tās piemērošanas kārtību pasūtītāja finansētiem projektiem"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23-TA-775</w:t>
    </w:r>
    <w:r>
      <w:br/>
    </w:r>
    <w:r w:rsidR="00000000" w:rsidRPr="00000000" w:rsidDel="00000000">
      <w:rPr>
        <w:rtl w:val="0"/>
      </w:rPr>
      <w:t xml:space="preserve">Izdrukāts 26.05.2023. 07.28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23-TA-775</w:t>
    </w:r>
    <w:r>
      <w:br/>
    </w:r>
    <w:r w:rsidR="00000000" w:rsidRPr="00000000" w:rsidDel="00000000">
      <w:rPr>
        <w:rtl w:val="0"/>
      </w:rPr>
      <w:t xml:space="preserve">Izdrukāts 26.05.2023. 07.28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Atzinumi_23-TA-775.docx</dc:title>
</cp:coreProperties>
</file>

<file path=docProps/custom.xml><?xml version="1.0" encoding="utf-8"?>
<Properties xmlns="http://schemas.openxmlformats.org/officeDocument/2006/custom-properties" xmlns:vt="http://schemas.openxmlformats.org/officeDocument/2006/docPropsVTypes"/>
</file>