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nodibina darba tiesiskās attiecības ar projekta vadības un īstenošanas personālu vai piesaista pakalpojumu sniedzēju šo noteikumu 29.4. apakšpunktā minētajā kārtībā.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13.2. apakšpunktā norādītajam finansējuma saņēmējam projekta ietvaros plānots gan DAC pakalpojums, kur visas izmaksas iekļautas vienas vienības izmaksu likmē, gan grupu māja (dzīvokļu) pakalpojums, projektā iekļaujot faktiskās personāla atlīdzības izmaksas, personāla, kas nodrošina grupu mājas pakalpojumu, darba laika uzskaite projekta īstenošanas laikā būs jāveic neatkarīgi no noslodzes. Piemēram, projekta vadītājs strādā pilnā slodzē projektā, bet daļa slodzes ir DAC pakalpojuma nodrošināšanai, pārējā grupu mājas (dzīvokļu) pakalpojumam, šim darbiniekam būs jāveic darba laika uzskaite par nostrādāto laiku un veiktajām funkcijām grupu mājas (dzīvokļu) mājas pakalpojumam, lai varētu attiecināt noteikumu projekta 18.2. apakšpunktā noteiktās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noteikumu projekta 29.2.apakšpunktu, piemēram, svītrojot teikuma daļu "Ja personāla atlīdzībai piemēro daļlaika izmaksu attiecināmības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kurā 4.3.5.1. pasākuma kārtā un kādā apmēra ir plānoti potenciāli pārdalāmie atlikumi.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potenciālo ietekmi uz 4.3.5.1. pasākuma sasniedzamajiem Eiropas Savienības kohēzijas politikas programmas 2021.—2027. gadam rādītājiem un finansējuma intervences kodiem pēc plānotās pārdales.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precizēt teikumus: "</w:t>
            </w:r>
            <w:r w:rsidR="00000000" w:rsidRPr="00000000" w:rsidDel="00000000">
              <w:rPr>
                <w:i w:val="1"/>
                <w:rtl w:val="0"/>
              </w:rPr>
              <w:t xml:space="preserve">Taču šos komunālos maksājumus nevar uzskatīt par pakalpojuma izmaksām, un tās nav ietvertas grupu mājas (dzīvokļa) pakalpojuma vienas vienības izmaksās. Visas pārējās ar pakalpojumu sniegšanu saistītās izmaksas ir jāfinansē pašvaldībai (šajā gadījumā no projekta vienas vienības izmaksām)</w:t>
            </w:r>
            <w:r w:rsidR="00000000" w:rsidRPr="00000000" w:rsidDel="00000000">
              <w:rPr>
                <w:rtl w:val="0"/>
              </w:rPr>
              <w:t xml:space="preserve">", ņemot vērā, ka grupu mājas pakalpojumam netiks piemērotas vienas vienības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salāgot informāciju ar noteikumu projekta 10.punktā noteikto, norādot, ka Rīgas valstspilsētas projektā iesaista vismaz 36 mērķa grupas personas (šobrīd norādīts 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7.punkta sākotnējā redakcijā tika norādīts 4.3.5.1.pasākuma īstenošanai kopējais attiecināmais finansējums 1 858 148 </w:t>
            </w:r>
            <w:r w:rsidR="00000000" w:rsidRPr="00000000" w:rsidDel="00000000">
              <w:rPr>
                <w:i w:val="1"/>
                <w:rtl w:val="0"/>
              </w:rPr>
              <w:t xml:space="preserve">euro </w:t>
            </w:r>
            <w:r w:rsidR="00000000" w:rsidRPr="00000000" w:rsidDel="00000000">
              <w:rPr>
                <w:rtl w:val="0"/>
              </w:rPr>
              <w:t xml:space="preserve">apmērā, savukārt anotācijas 1.6.apakšsadaļas 3.rindkopā ir norādīts, ka sākotnēji 4.3.5.1. pasākuma 3.kārtai īstenošanai tika plānots finansējums 2 196 804 </w:t>
            </w:r>
            <w:r w:rsidR="00000000" w:rsidRPr="00000000" w:rsidDel="00000000">
              <w:rPr>
                <w:i w:val="1"/>
                <w:rtl w:val="0"/>
              </w:rPr>
              <w:t xml:space="preserve">euro </w:t>
            </w:r>
            <w:r w:rsidR="00000000" w:rsidRPr="00000000" w:rsidDel="00000000">
              <w:rPr>
                <w:rtl w:val="0"/>
              </w:rPr>
              <w:t xml:space="preserve">apmērā, kas par 338 656 </w:t>
            </w:r>
            <w:r w:rsidR="00000000" w:rsidRPr="00000000" w:rsidDel="00000000">
              <w:rPr>
                <w:i w:val="1"/>
                <w:rtl w:val="0"/>
              </w:rPr>
              <w:t xml:space="preserve">euro </w:t>
            </w:r>
            <w:r w:rsidR="00000000" w:rsidRPr="00000000" w:rsidDel="00000000">
              <w:rPr>
                <w:rtl w:val="0"/>
              </w:rPr>
              <w:t xml:space="preserve">pārsniedz noteikumu projekta sākotnējā redakcijā paredzēto. Lūdzam papildināt anotācijas 1.6.apakšsadaļu ar skaidrojumu par konstatēto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4.3.5.1. pasākuma "Sabiedrībā balstītu sociālo pakalpojumu pieejamības palielināšana" (turpmāk – 4.3.5.1. pasākums) trešās kārtas kopējā attiecināmā finansējuma pieejamību 2 597 764 </w:t>
            </w:r>
            <w:r w:rsidR="00000000" w:rsidRPr="00000000" w:rsidDel="00000000">
              <w:rPr>
                <w:i w:val="1"/>
                <w:rtl w:val="0"/>
              </w:rPr>
              <w:t xml:space="preserve">euro </w:t>
            </w:r>
            <w:r w:rsidR="00000000" w:rsidRPr="00000000" w:rsidDel="00000000">
              <w:rPr>
                <w:rtl w:val="0"/>
              </w:rPr>
              <w:t xml:space="preserve">apmērā, Labklājības ministrijai līdz 2026. gada 31. martam veikt finansējuma pārdali no citām 4.3.5.1. pasākuma kārtam 400 960 </w:t>
            </w:r>
            <w:r w:rsidR="00000000" w:rsidRPr="00000000" w:rsidDel="00000000">
              <w:rPr>
                <w:i w:val="1"/>
                <w:rtl w:val="0"/>
              </w:rPr>
              <w:t xml:space="preserve">euro </w:t>
            </w:r>
            <w:r w:rsidR="00000000" w:rsidRPr="00000000" w:rsidDel="00000000">
              <w:rPr>
                <w:rtl w:val="0"/>
              </w:rPr>
              <w:t xml:space="preserve">apmērā un sagatavot un labklājības ministram iesniegt izskatīšanai Ministru kabinetā grozījumus Ministru kabineta noteikumos par attiecīgās 4.3.5.1. pasākuma kārtas īstenošu.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projekta 3.punktu ar anotācijā minēto, ka Labklājības ministrija sadarbībā ar Centrālo finanšu un līgumu aģentūru nodrošinās, ka līgumsaistības 4.3.5.1. pasākuma kārtās netiek uzņemtas par lielāku summu kā 4.3.5.1. pasākuma finansējums kopā, lai nodrošinātu, ka finansējums netiek piesaistīts dubultā.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4.3.5.1. pasākuma "Sabiedrībā balstītu sociālo pakalpojumu pieejamības palielināšana" (turpmāk – 4.3.5.1. pasākums) trešās kārtas kopējā attiecināmā finansējuma pieejamību 2 597 764 euro apmērā, Labklājības ministrijai līdz 2026. gada 31. martam veikt finansējuma pārdali no citām 4.3.5.1. pasākuma kārtam 400 960 euro apmērā un sagatavot un labklājības ministram iesniegt izskatīšanai Ministru kabinetā grozījumus Ministru kabineta noteikumos par attiecīgās 4.3.5.1. pasākuma kārtas īstenošu. Labklājības ministrijai sadarbībā ar Centrālo finanšu un līgumu aģentūru nodrošināt, ka līgumsaistības 4.3.5.1. pasākuma kārtās netiek uzņemtas par lielāku summu kā 4.3.5.1. pasākuma kopējais pieejamais finansējums 70 051 025 euro apmērā (tai skaitā 59 543 369 euro Eiropas Sociālā fonda Plus finansējums un 10 507 656 euro nacionālais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25-TA-346</w:t>
    </w:r>
    <w:r>
      <w:br/>
    </w:r>
    <w:r w:rsidR="00000000" w:rsidRPr="00000000" w:rsidDel="00000000">
      <w:rPr>
        <w:rtl w:val="0"/>
      </w:rPr>
      <w:t xml:space="preserve">Izdrukāts 17.09.2025. 21.05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25-TA-346</w:t>
    </w:r>
    <w:r>
      <w:br/>
    </w:r>
    <w:r w:rsidR="00000000" w:rsidRPr="00000000" w:rsidDel="00000000">
      <w:rPr>
        <w:rtl w:val="0"/>
      </w:rPr>
      <w:t xml:space="preserve">Izdrukāts 17.09.2025. 21.05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Atzinumi_25-TA-346.docx</dc:title>
</cp:coreProperties>
</file>

<file path=docProps/custom.xml><?xml version="1.0" encoding="utf-8"?>
<Properties xmlns="http://schemas.openxmlformats.org/officeDocument/2006/custom-properties" xmlns:vt="http://schemas.openxmlformats.org/officeDocument/2006/docPropsVTypes"/>
</file>