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Ieguldītāju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 nodaļa</w:t>
            </w:r>
            <w:r w:rsidR="00000000" w:rsidRPr="00000000" w:rsidDel="00000000">
              <w:rPr>
                <w:b w:val="1"/>
                <w:rtl w:val="0"/>
              </w:rPr>
              <w:t xml:space="preserve">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var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izslēgt sistēmas dalībnieku no dalības ieguldītāju aizsardzības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var piemērot šādu administratīvo pasākumu - pieprasīt, lai par pārkāpumu atbildīgā juridiskā persona izbeidz attiecīgo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var piemērot šā panta pirmās daļas 1., 2. un 4. punktā noteiktās sankcijas un šā panta otrajā daļā noteikto administratīvo pasākumu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noteiktās prasības sagatavot, apstrādāt un iesniegt Latvijas Bankai kompensāciju izmaksas nodrošināšanai un informācijas administrēšanai nepieciešamo informāciju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veikt maksājumus ieguldītāju aizsardzības sistēmai noteiktajā apmērā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termiņa neievērošanu maksājumu veikšanai ieguldītāju aizsardzības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var piemērot naudas sodu no 1000 līdz 10 000 euro par sistēmas dalībnieka pienākuma neizpildi sagatavot, apstrādāt un iesniegt Latvijas Bankai informāciju, kas nepieciešama kompensāciju izmaksu nodrošināšanai un informācijas administrēšanai.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Publisks paziņojums ir paziņojums, kurā norādīta par pārkāpumu atbildīgā juridiskā persona un pārkāpuma būtība. Publisku paziņojumu var piemērot papildus šā panta pirmās daļas 1., 3. un 4. punktā minētajām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Bankai var piemērot šā panta otrajā daļā minēto administratīvo pasākumu vienlaikus ar šā panta pirmajā daļā minētajām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var ierosināt lietu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un administratīvo pasākumu piemērošanu Latvijas Banka var pieņemt divu gadu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administratīvo pasākumu, kas piemēroti par pārkāpumu atbildīgajām juridiskajām personām, pēc tam, kad tā ir paziņota adresātam, ievieto savā tīmekļvietnē, norādot ziņas par personu un tās izdarīto pārkāpumu, kā arī par Latvijas Bankas izdotā administratīvā akta pārsūdzēšanu un pieņemto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juridisko personu, ja konstatē, ka juridiskās personas datu atklāšana, kurai piemērota sankcija vai administratīvais pasākums, nav samērīga vai arī juridiskās personas datu atklāšana var apdraudēt finanšu tirgus stabilitāti,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Bankas tīmekļvietnē ievietotā informācija ir pieejama piecus gadus no tās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Pārsūdzot Latvijas Bankas izdoto administratīvo aktu, pieteikumu iesniedz Administratīvajā apgabaltiesā.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administratīvā akta pārsūdzēšana, izņemot administratīvo aktu par naudas soda piemērošanu vai publisku paziņojumu, neaptur šā akta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vēlreiz izvērtēt projektā paredzētās grozāmā likuma V nodaļas atbilstību vispārīgajām juridiskās tehnikas prasībām, ievērojot arī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projektā ir paredzēts tikai viens administratīvais pasākums, tad nav iespējams veidot šādu pasākumu uzskaitījumu, proti, nav nepieciešams lietot vārdu "šādu" (grozāmā likuma 20.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Izvērtējams saikļu "un" un "vai" lietojums. Ja konkrētajā gadījumā ir nepieciešama vienlaikus divu priekšnoteikumu iestāšanās, lieto saikli "un" (kumulatīva pazīme), bet, ja vēlas norādīt, ka pietiek ar viena priekšnoteikuma iestāšanos, lieto saikli "vai" (alternatīva pazīme) (</w:t>
            </w:r>
            <w:r w:rsidR="00000000" w:rsidRPr="00000000" w:rsidDel="00000000">
              <w:rPr>
                <w:i w:val="1"/>
                <w:rtl w:val="0"/>
              </w:rPr>
              <w:t xml:space="preserve">Krūmiņa V., Skujiņa V. Normatīvo aktu izstrādes rokasgrāmata. Rīga: Valsts kanceleja, 2002, 99. lpp.</w:t>
            </w:r>
            <w:r w:rsidR="00000000" w:rsidRPr="00000000" w:rsidDel="00000000">
              <w:rPr>
                <w:rtl w:val="0"/>
              </w:rPr>
              <w:t xml:space="preserve">). Piemēram, projektā izmantotajās iekšējās atsaucēs, norādot piemērojamās sankcijas, domājams, būtu lietojams saiklis "vai" (piemēro tikai vienu no attiecīgajām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pārskatīt iekšējo atsauču lietojumu. Atsauce ir līdzeklis, kā saīsināt un vienkāršot likuma tekstu, jo, izmantojot atsauces, nav jāraksta viss jau reiz uzrakstītais teksts pilnībā. Vienlaikus jāatceras, ka atsauces ir jālieto saprātīgi un pamatoti, jo to pārmērīga lietošana var sarežģīt likuma satura uztveri. Iekšējā atsauce sasaista paša likuma normas, lai nebūtu atkārtoti jāraksta viens un tas pats regulējums vairākās vietās (</w:t>
            </w:r>
            <w:r w:rsidR="00000000" w:rsidRPr="00000000" w:rsidDel="00000000">
              <w:rPr>
                <w:i w:val="1"/>
                <w:rtl w:val="0"/>
              </w:rPr>
              <w:t xml:space="preserve">Normatīvo aktu projektu izstrādes rokasgrāmata, https://tai.mk.gov.lv/book/1/chapter/98</w:t>
            </w:r>
            <w:r w:rsidR="00000000" w:rsidRPr="00000000" w:rsidDel="00000000">
              <w:rPr>
                <w:rtl w:val="0"/>
              </w:rPr>
              <w:t xml:space="preserve">). Tā kā projektā ir skaidri saprotams, ko ietver sankcijas un administratīvi pasākumi, tad nav nepieciešams katru reizi norādīt, kurā likuma vienībā sankcijas vai administratīvais pasākums ir 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projektā paredzēts, ka Latvijas Banka var piemērot šā panta otrajā daļā minēto administratīvo pasākumu vienlaikus ar šā panta pirmajā daļā minētajām sankcijām. Šādā regulējumā iekšējās atsauces nav nepieciešamas. Projektā nav citu administratīvu pasākumu vai sankciju, sistēmiski skatoties, regulējums arī bez iekšējām atsaucēm ir pilnībā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03.08.2023.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22-TA-1524</w:t>
    </w:r>
    <w:r>
      <w:br/>
    </w:r>
    <w:r w:rsidR="00000000" w:rsidRPr="00000000" w:rsidDel="00000000">
      <w:rPr>
        <w:rtl w:val="0"/>
      </w:rPr>
      <w:t xml:space="preserve">Izdrukāts 03.08.2023.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Atzinumi_22-TA-1524.docx</dc:title>
</cp:coreProperties>
</file>

<file path=docProps/custom.xml><?xml version="1.0" encoding="utf-8"?>
<Properties xmlns="http://schemas.openxmlformats.org/officeDocument/2006/custom-properties" xmlns:vt="http://schemas.openxmlformats.org/officeDocument/2006/docPropsVTypes"/>
</file>