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22-TA-3348: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Vispārējās un profesionālās izglītības programmu licencēšanas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28.12.2022.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25. Noteikumi stājas spēkā 2023. gada 1. janvārī.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Ņemot vērā, ka 2023.gada pirmajos mēnešos valstī būs spēkā “tehniskais” budžets </w:t>
            </w:r>
            <w:r w:rsidR="00000000" w:rsidRPr="00000000" w:rsidDel="00000000">
              <w:rPr>
                <w:b w:val="1"/>
                <w:rtl w:val="0"/>
              </w:rPr>
              <w:t xml:space="preserve">lūdzam noteikumu stāšanos spēkā termiņu noteikt 2023. gada 1.janvāri.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Ināra Dundure (LPS)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22-TA-3348</w:t>
    </w:r>
    <w:r>
      <w:br/>
    </w:r>
    <w:r w:rsidR="00000000" w:rsidRPr="00000000" w:rsidDel="00000000">
      <w:rPr>
        <w:rtl w:val="0"/>
      </w:rPr>
      <w:t xml:space="preserve">Izdrukāts 28.12.2022. 12.20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22-TA-3348</w:t>
    </w:r>
    <w:r>
      <w:br/>
    </w:r>
    <w:r w:rsidR="00000000" w:rsidRPr="00000000" w:rsidDel="00000000">
      <w:rPr>
        <w:rtl w:val="0"/>
      </w:rPr>
      <w:t xml:space="preserve">Izdrukāts 28.12.2022. 12.20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