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iekārtu, mehānismu un inženiertehnisko risinājumu, tiem nepieciešamo ražošanas telpu vai to kombinācijas, kas nodrošina lielāku notekūdeņu attīrīšanas jaudu, uzlabo notekūdeņu attīrīšanas efektivitāti, samazina vides piesārņojumu vai tā risku vai samazina siltumnīcefekta gāzu emisijas notekūdeņu dūņu apstrādes procesā, izmaksas, tai skaitā saistīto būvdarbu, piegādes un pakalpojumu līgumu izmaksas, ievērojot, ka iepirkumu procedūras tiek veiktas saskaņā ar normatīvo aktu prasībām sabiedrisko pakalpojumu sniedzēju iepirkumu jomā, īstenojot atklātu, pārredzamu, nediskriminējošu un konkurenci nodrošinošu iepirkuma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iepirkumi atbilstoši normatīvo aktu prasībām sabiedrisko pakalpojumu sniedzējiem jāveic arī citu apakšpunktu minētajās darbībās, ierosinām ar tekstu "iepirkumu procedūras jāveic saskaņā ar normatīvo aktu prasībām sabiedrisko pakalpojumu sniedzēju iepirkumu jomā, īstenojot atklātu, pārredzamu, nediskriminējošu un konkurenci nodrošinošu iepirkuma procedūru" papildināt 36.12.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projekta ietvaros iepirkumu procedūras jāveic saskaņā ar normatīvo aktu prasībām sabiedrisko pakalpojumu sniedzēju iepirkumu jomā, īstenojot atklātu, pārredzamu, nediskriminējošu un konkurenci nodrošinošu iepirkuma procedūru, kā arī jānodrošina vides prasību integrāciju preču, pakalpojumu un būvdarbu iepirkumos (zaļais publiskais iepirkums), kā arī izvērtē sociāli atbildīga un inovatīva publiskā iepirkuma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izmaksas ne vairāk kā desmit procentu apmērā no attiecināmo būvniecības izmaksu kopsummas, ja projektā paredzētas būvniecības darbības un attiecināmajās izmaksās nav iekļauti šo noteikumu 30.6. apakšpunktā minētie neparedzētie izdevumi, un kuru izlietošanu finansējuma saņēmējs saskaņo ar sadarbības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noteikumu projektā un anotācijā norādītos nosacījumus par šādiem noteikumu projekta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30.7.apakšpunktā izmaksu veidu salāgot ar anotācijā norādīto, precizējot "rezerves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anotāciju atbilstoši veiktajiem precizējumiem noteikumu projekta 37.punktā, svītrojot ierobežojumu par avansa izmantošanu saimnieciskā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rezerves izmaksas ne vairāk kā desmit procentu apmērā no attiecināmo būvniecības izmaksu kopsummas, ja projektā paredzētas būvniecības darbības un attiecināmajās izmaksās nav iekļauti šo noteikumu 30.6. apakšpunktā minētie neparedzētie izdevumi, un kuru izlietošanu finansējuma saņēmējs saskaņo ar sadarbības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9. punkts stājas spēkā  dienā, kad Eiropas Komisijā ir apstiprināti Eiropas Savienības kohēzijas politikas programmas 2021. – 2027. gadam grozījumi, kas paredz finansējuma pārdales Vides aizsardzības un reģionālās attīstības ministrijas specifiskajos atbalsta mērķos no 2. politikas mērķa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uz 4. politikas mērķi "Sociālāka un iekļaujošāka Eiropa, īstenojot Eiropas sociālo tiesību pīlāru" ietvaros, samazinot finansējumu 2.2. prioritātē "Vides aizsardzība un attīstība", bet palielinot finansējumu 4.2. prioritātē "Izglītība, prasmes un mūžizglītība".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39. punktu, paredzot, ka noteikumu projekta </w:t>
            </w:r>
            <w:r w:rsidR="00000000" w:rsidRPr="00000000" w:rsidDel="00000000">
              <w:rPr>
                <w:u w:val="single"/>
                <w:rtl w:val="0"/>
              </w:rPr>
              <w:t xml:space="preserve">9. punktu piemēro</w:t>
            </w:r>
            <w:r w:rsidR="00000000" w:rsidRPr="00000000" w:rsidDel="00000000">
              <w:rPr>
                <w:rtl w:val="0"/>
              </w:rPr>
              <w:t xml:space="preserve"> no dienas, kad Eiropas Komisijā ir apstiprināti attiecīgie Eiropas Savienības kohēzijas politikas programmas 2021. – 2027. gadam grozījumi. Savukārt noteikumu projekta 40. punktā aicinām atbilstoši norādīt, ka gadījumā,</w:t>
            </w:r>
            <w:r w:rsidR="00000000" w:rsidRPr="00000000" w:rsidDel="00000000">
              <w:rPr>
                <w:u w:val="single"/>
                <w:rtl w:val="0"/>
              </w:rPr>
              <w:t xml:space="preserve"> ja tiek piemērots noteikumu projekta 9. punkts</w:t>
            </w:r>
            <w:r w:rsidR="00000000" w:rsidRPr="00000000" w:rsidDel="00000000">
              <w:rPr>
                <w:rtl w:val="0"/>
              </w:rPr>
              <w:t xml:space="preserve">, netiek piemērots noteikumu projekta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nosacījumu ietekmi uz projektu iesniegumiem, kuri projektu atlases ietvaros tiks iesniegti līdz brīdim, kad tiks uzsākta noteikumu projekta 9. punkta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ministrijas iepriekš izteikto iebildumu par projekta 30 gadu dzīves ciklu (izziņas 8. punkts) un izziņā sniegto skaidrojumu, ka "sadarbības iestāde veiks projekta pēcuzraudzību piecus gadus pēc noslēguma maksājuma veikšanas. Projekta dzīves cikla ilgums tiek ņemts vērā izmaksu un ieguvumu analīzē un īpašumtiesību nodrošināšanai", lūdzam atbilstoši precizēt anotācijas 1.3. sadaļas apakšsadaļu "Risinājuma apraksts", lai nodrošinātu viennozīmīgu interpretāciju, ka sadarbības iestāde veiks pēcuzraudzību tikai piecus gadus pēc noslēguma maksājuma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23-TA-3286</w:t>
    </w:r>
    <w:r>
      <w:br/>
    </w:r>
    <w:r w:rsidR="00000000" w:rsidRPr="00000000" w:rsidDel="00000000">
      <w:rPr>
        <w:rtl w:val="0"/>
      </w:rPr>
      <w:t xml:space="preserve">Izdrukāts 25.03.2024. 21.47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23-TA-3286</w:t>
    </w:r>
    <w:r>
      <w:br/>
    </w:r>
    <w:r w:rsidR="00000000" w:rsidRPr="00000000" w:rsidDel="00000000">
      <w:rPr>
        <w:rtl w:val="0"/>
      </w:rPr>
      <w:t xml:space="preserve">Izdrukāts 25.03.2024. 21.47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Atzinumi_23-TA-3286.docx</dc:title>
</cp:coreProperties>
</file>

<file path=docProps/custom.xml><?xml version="1.0" encoding="utf-8"?>
<Properties xmlns="http://schemas.openxmlformats.org/officeDocument/2006/custom-properties" xmlns:vt="http://schemas.openxmlformats.org/officeDocument/2006/docPropsVTypes"/>
</file>