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Krimināllikumā"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tādu likumprojektu virzība, kuru īstenošanai nav nodrošināts finansējums. Ņemot vērā, ka anotācijas 3.sadaļā pie “Cita informācija” ir norādīta ietekme uz valsts budžetu 2 291 570 euro apmērā  2024. -2026. gada periodam, uzskatām, ka likumprojekta tālāka virzība ir atliekama līdz brīdim, kad Ministru kabinetā tiks pieņemti lēmumi par norādītā papildu nepieciešamā finansējuma piešķiršanu. Vai arī lūdzam izvērtēt  vai norādītā informācija ir attiecināma uz konkrtētā likumprojektā paredzēto.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28.03.2023.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28.03.2023.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Atzinumi_21-TA-600.docx</dc:title>
</cp:coreProperties>
</file>

<file path=docProps/custom.xml><?xml version="1.0" encoding="utf-8"?>
<Properties xmlns="http://schemas.openxmlformats.org/officeDocument/2006/custom-properties" xmlns:vt="http://schemas.openxmlformats.org/officeDocument/2006/docPropsVTypes"/>
</file>