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minēts: "</w:t>
            </w:r>
            <w:r w:rsidR="00000000" w:rsidRPr="00000000" w:rsidDel="00000000">
              <w:rPr>
                <w:i w:val="1"/>
                <w:rtl w:val="0"/>
              </w:rPr>
              <w:t xml:space="preserve">[..] ir pieņemts lēmums, ka atbalsta piešķiršanu nodrošinās Aizsardzības ministrija [..]. Savukārt pirmsakcelerācijas programmas operators, kas būs UniLab, veiks faktisko pirmsakcelerācijas programmas īstenošanu, kas ietver grantu konkursa pilna cikla pārvaldību, īstenošanu un pēcuzraudzību</w:t>
            </w:r>
            <w:r w:rsidR="00000000" w:rsidRPr="00000000" w:rsidDel="00000000">
              <w:rPr>
                <w:rtl w:val="0"/>
              </w:rPr>
              <w:t xml:space="preserve">." Vienlaikus no noteikumu projekta ir secināms, ka Aizsardzības ministrija nodrošinās atbalsta piešķiršanu. Lūdzam skaidrības nolūkos papildināt anotāciju, ka visos gadījumos, kā granta, tā prirmsakselerācijas programmas ietvaros atbalsta piešķīrējiestāde ir Aizsardzības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demarkāciju un papildinātību ar citiem atbalsta instrumentiem aizsardzības un duāla lietojuma produktu attīstības jomā. Proti, anotācijā būtu lietderīgi skaidri norādīt demarkāciju ar 1.2.1.1. pasākuma “Atbalsts jaunu produktu attīstībai un internacionalizācijai” 3. kārtu, kuras ietvaros paredzēts atbalsts arī duāla lietojuma (t.sk. militāra rakstura) produktu izstrādei. Tāpat aicinām atspoguļot papildinātību ar 1.2.3.1. pasākuma "Atbalsts mazo un vidējo uzņēmumu inovatīvas uzņēmējdarbības attīstībai" īstenošanas noteikumi" ietvaros pieejamo atbalstu biznesa inkubatoros, kur aizsardzības nozares ideju attīstībai (pirmsinkubācijas un inkubācijas aktivitātēm) ir pieejams finansējums 2 milj. euro apmērā. Minētās informācijas iekļaušana veicinātu skaidrāku izpratni par atbalsta instrumentu savstarpējo norobežojumu un sinerģiju, novēršot iespējamu pārklāšanos finansējuma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komercdarbības atbalsta klātbūtni attiecībā uz operatora SIA “UniLab” iesaisti pasākumā, lūdzam papildināt anotāciju ar informāciju par komercdarbības atbalsta klātbūtni SIA “UniLab”, t.sk. skaidrojot, vai, piemēram, Ministru kabineta 2025.gada 22.aprīļa rīkojuma Nr.221 "Par finansējuma piešķiršanu Rīgas Tehniskajai universitātei, Latvijas Biozinātņu un tehnoloģiju universitātei, Latvijas Universitātei un Rīgas Stradiņa universitātei aizsardzības pirmsakcelerācijas programmas īstenošanai 2025. un 2026. gadā" anotācijā sniegtais skaidrojums par komercdarbības atbalsta neesamību SIA “UniLab” ir spēkā, tostarp, ka SIA “UniLab” attiecībā uz gala labuma guvējiem (jaunuzņēmumiem) darbosies tikai kā starpnieks, līdz ar to SIA “UniLab” negūs labumu no programmas īstenošanai piešķirtā publiskā finansējuma un programmas ietvaros tas nav kvalificējams kā komercdarbības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projektam būtu aizpildāma anotācijas 2.sadaļa.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projektam būtu jānodrošina sabiedrības līdzdalība, attiecīgi pēc tam aizpildot anotācijas 6.sadaļu.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izpildē ir iesaistīta Aizsardzības ministrija,  Iekšlietu ministrijas Informācijas centrs, Pilsonības un migrācijas lietu pārvalde, kuras ir jānorāda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atbilstību Komisijas regulas Nr.2023/2831 1.panta 1.punktam, lūdzam papildināt spēkā eošo noteikumu 6.punktu (attiecīgi papildinot noteikumu projektu) ar pirmo teikumu,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Nr.2023/2831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un citiem konsorcija dalībniekiem uz dienu, kad tiek iesniegts projekta iesniegums, saskaņā ar attiecīgās valsts nodokļu kontroles iestādes (Latvijā: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projektā piedāvātajā 18.7.apakšpunktā vārdus "attiecīgās valsts nodokļu kontroles iestādes" ar atbilstošāku apzīmējumu (piemēram, aizstāt ar vārdiem "attiecīgās ārvalsts kompetentās institūcijas" vai vārdiem "attiecīgās valsts nodokļu administrācijas").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Publisko iepirkumu likumā tiek lietoti vārdi "attiecīgās ārvalsts kompetentās institūcijas" (skatīt, piemēram, 42. panta piektās daļas 2. punkta a) apakšpunktu), bet likumā "Par nodokļiem un nodevām" tiek lietots termins "nodokļu administrācija" (skatīt, piemēram, 18.</w:t>
            </w:r>
            <w:r w:rsidR="00000000" w:rsidRPr="00000000" w:rsidDel="00000000">
              <w:rPr>
                <w:vertAlign w:val="superscript"/>
                <w:rtl w:val="0"/>
              </w:rPr>
              <w:t xml:space="preserve">1</w:t>
            </w:r>
            <w:r w:rsidR="00000000" w:rsidRPr="00000000" w:rsidDel="00000000">
              <w:rPr>
                <w:rtl w:val="0"/>
              </w:rPr>
              <w:t xml:space="preserve"> panta pirmās daļas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grozījumi paredz izteikt noteikumu 18.7. apakšpunktu jaunā redakcijā, nosakot, ka viens no nosacījumiem, lai Latvijas Republikā reģistrēti uzņēmumi vai uzņēmumu apvienības (konsorcijs) varētu pieteikties atbalsta saņemšanai ir tas, ka projekta iesniedzējam un citiem konsorcija dalībniekiem uz dienu, kad tiek iesniegts projekta iesniegums, saskaņā ar attiecīgās valsts nodokļu kontroles iestādes (Latvijā: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sniegta informācija, vai arī citu valstu nodokļu kontroles iestādes nodrošina publiski pieejamu nodokļu (nodevu) parādnieku datubāzi, kā tas ir noteikts Latvijā attiecībā uz Valsts ieņēmumu dienestu, aicinām izvērtēt, vai tādējādi nav nepieciešami grozījumi arī noteikumu 20. punktā, nosakot, ka gadījumos, ja atbalsta programmas operators nevar iegūt informāciju par to, vai konsorcija dalībniekiem ir attiecīgās citas valsts nodokļu kontroles iestādes administrēto nodokļu (nodevu) parāds, tas šo informāciju pieprasa iesniegt uzņēmumu apvienībai (konsorcijam).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Publisko iepirkumu likuma 42. panta piektās daļas 2.punkta a) apakšpunktā noteikts, lai apliecinātu, ka ārvalstī reģistrētai vai pastāvīgi dzīvojošai personai piedāvājumu iesniegšanas termiņa pēdējā dienā vai dienā, kad pieņemts lēmums par iespējamu iepirkuma līguma slēgšanas tiesību piešķiršanu, valstī, kurā tas reģistrēts vai kurā atrodas tā pastāvīgā dzīvesvieta, saskaņā ar attiecīgās ārvalsts normatīvajiem aktiem nav neizpildītas saistības nodokļu (tai skaitā valsts sociālās apdrošināšanas) jomā, tā iesniedz attiecīgās ārvalsts kompetentās institūcijas izziņu vai citu dokumentu, kas apliecina izslēgšanas iemesla neesību. Savukārt minētā panta piektās daļas 2.punkta c) apakšpunktā noteikts, ja attiecīgajā ārvalstī kompetentās institūcijas izziņas vai citi dokumenti netiek izsniegti vai ar tiem nepietiek, lai apliecinātu, ka kandidātam vai pretendentam nav neizpildītas saistības nodokļu jomā, tad šīs izziņas vai citus dokumentus var aizstāt ar zvērestu vai, ja zvēresta došanu attiecīgās valsts normatīvie akti neparedz – ar paša kandidāta vai pretendenta apliecinājumu kompetentai izpildvaras vai tiesu varas iestādei, zvērinātam notāram vai kompetentai attiecīgās nozares organizācijai to reģistrācijas vai pastāvīgās dzīvesvietas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šo noteikumu 5.1. apakšpunktā noteiktā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pretendentu atbilstoši Komisijas regulas 2023/2831 nosacījumiem vērtē uz atbalsta piešķiršanas brīdi, lūdzam noteikumu projektā piedāvātā 31.punkta pirmo teikumu izteikt,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slēdzot rakstveida līgumu par šo noteikumu 5.1. apakšpunktā noteiktā atbalsta piešķiršanu, izvērtē atbalsta pretendentu atbilstoši Komisijas regulas 2023/2831 nosacījumiem </w:t>
            </w:r>
            <w:r w:rsidR="00000000" w:rsidRPr="00000000" w:rsidDel="00000000">
              <w:rPr>
                <w:u w:val="single"/>
                <w:rtl w:val="0"/>
              </w:rPr>
              <w:t xml:space="preserve">uz atbalsta piešķiršanas brīdi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w:t>
            </w:r>
            <w:r w:rsidR="00000000" w:rsidRPr="00000000" w:rsidDel="00000000">
              <w:rPr>
                <w:rtl w:val="0"/>
              </w:rPr>
              <w:t xml:space="preserve">2023/2831</w:t>
            </w:r>
            <w:r w:rsidR="00000000" w:rsidRPr="00000000" w:rsidDel="00000000">
              <w:rPr>
                <w:rtl w:val="0"/>
              </w:rPr>
              <w:t xml:space="preserve"> 6. panta 3. punktam. Aizsardzības ministrija sniedz informāciju Komisijai saskaņā ar Komisijas regulas  </w:t>
            </w:r>
            <w:r w:rsidR="00000000" w:rsidRPr="00000000" w:rsidDel="00000000">
              <w:rPr>
                <w:rtl w:val="0"/>
              </w:rPr>
              <w:t xml:space="preserve">2023/2831</w:t>
            </w:r>
            <w:r w:rsidR="00000000" w:rsidRPr="00000000" w:rsidDel="00000000">
              <w:rPr>
                <w:rtl w:val="0"/>
              </w:rPr>
              <w:t xml:space="preserve"> 6.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sniedzējs datus par </w:t>
            </w:r>
            <w:r w:rsidR="00000000" w:rsidRPr="00000000" w:rsidDel="00000000">
              <w:rPr>
                <w:i w:val="1"/>
                <w:rtl w:val="0"/>
              </w:rPr>
              <w:t xml:space="preserve">de minimis</w:t>
            </w:r>
            <w:r w:rsidR="00000000" w:rsidRPr="00000000" w:rsidDel="00000000">
              <w:rPr>
                <w:rtl w:val="0"/>
              </w:rPr>
              <w:t xml:space="preserve"> atbalstu glabā 10 gadus, sākot no dienas, kurā saskaņā ar šo atbalsta programmu piešķirts pēdējais de minimis atbalsts, lūdzam precizēt spēkā esošo noteikumu 35.punkta pēdējo teikumu (attiecīgi papildinot noteikumu projektu),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datus par </w:t>
            </w:r>
            <w:r w:rsidR="00000000" w:rsidRPr="00000000" w:rsidDel="00000000">
              <w:rPr>
                <w:i w:val="1"/>
                <w:rtl w:val="0"/>
              </w:rPr>
              <w:t xml:space="preserve">de minimis</w:t>
            </w:r>
            <w:r w:rsidR="00000000" w:rsidRPr="00000000" w:rsidDel="00000000">
              <w:rPr>
                <w:rtl w:val="0"/>
              </w:rPr>
              <w:t xml:space="preserve"> atbalstu glabā </w:t>
            </w:r>
            <w:r w:rsidR="00000000" w:rsidRPr="00000000" w:rsidDel="00000000">
              <w:rPr>
                <w:u w:val="single"/>
                <w:rtl w:val="0"/>
              </w:rPr>
              <w:t xml:space="preserve">10 gadus, sākot no dienas, kurā saskaņā ar šo atbalsta programmu piešķirts pēdējais </w:t>
            </w:r>
            <w:r w:rsidR="00000000" w:rsidRPr="00000000" w:rsidDel="00000000">
              <w:rPr>
                <w:i w:val="1"/>
                <w:u w:val="single"/>
                <w:rtl w:val="0"/>
              </w:rPr>
              <w:t xml:space="preserve">de minimis</w:t>
            </w:r>
            <w:r w:rsidR="00000000" w:rsidRPr="00000000" w:rsidDel="00000000">
              <w:rPr>
                <w:u w:val="single"/>
                <w:rtl w:val="0"/>
              </w:rPr>
              <w:t xml:space="preserve"> atbalsts</w:t>
            </w:r>
            <w:r w:rsidR="00000000" w:rsidRPr="00000000" w:rsidDel="00000000">
              <w:rPr>
                <w:rtl w:val="0"/>
              </w:rPr>
              <w:t xml:space="preserve">, atbilstoši Komisijas regulas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10.07.2026.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10.07.2026.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