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“Ražotāju grupu un organizāciju izveides atbalsts”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ja tiek konstatēts regulas Nr.1407/2013 pārkāpums, atbalsta saņēmējam ir pienākums atmaksāt Lauku atbalsta dienestam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36.5. apakšpunktu nepieciešams izteikt kā jaunu punktu vai cita atbilstoša punkta apakšpunktu, ņemot vērā, ka 36. punkts attiecas uz Lauku atbalsta dienestu, taču 36.5. apakšpunkts - uz atbalsta saņēmēju.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04.08.2023.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04.08.2023.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Atzinumi_22-TA-3322.docx</dc:title>
</cp:coreProperties>
</file>

<file path=docProps/custom.xml><?xml version="1.0" encoding="utf-8"?>
<Properties xmlns="http://schemas.openxmlformats.org/officeDocument/2006/custom-properties" xmlns:vt="http://schemas.openxmlformats.org/officeDocument/2006/docPropsVTypes"/>
</file>