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25. marta noteikumos Nr. 156 "Būvizstrādājumu tirgus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 gada 1.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2014.gada 25.marta noteikumos Nr.156 "Būvizstrādājumu tirgus uzraudzības kārtība" (turpmāk – projekts) tiek pārņemtas Padomes 2013.gada 5.decembra direktīvas 2013/59/Euratom, ar ko nosaka drošības pamatstandartus aizsardzībai pret jonizējošā starojuma radītajiem draudiem un atceļ Direktīvu 89/618/Euratom, Direktīvu 90/641/Euratom, Direktīvu 96/29/Euratom, Direktīvu 97/43/Euratom un Direktīvu 2003/122/Euratom (turpmāk - Direktīva Nr.2013/59/Euratom) prasības. Minētās direktīvas prasības bija jāpārņem līdz 2018.gada 6.februārim (sk. Direktīvas Nr.2013/59/Euratom 106.panta 1.punktu). Attiecīgi lūdzam precizēt projektu, nodrošinot, ka projekta prasības, ar kurām tiek pārņemtas Direktīvas Nr.2013/59/Euratom prasības, stājas spēkā vispārējā kārtībā, tādējādi nodrošinot pēc iespējas drīzāku direktīvas prasību pārņemšanu nacionālajā tiesiskajā regulējumā. Alternatīvi lūdzam sniegt pamatotu skaidrojumu par projekta 2.punkta nepieciešamību un 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(ex-ante) novērtējuma ziņojumā (anotācijā) (turpmāk - anotācija) ietvertajiem skaidrojumiem secināms, ka vismaz daļa no projektā ietvertā regulējuma izpilda Būvniecības likuma 5.panta pirmās daļas 10.punktā paredzēto pilnvarojumu. Attiecīgi atkārtoti aicinām anotācijā sniegt skaidrojumu par projektā ietvertā regulējuma atbilstību Būvniecības likuma 5.panta pirmās daļas 10.punktā paredzētajam pilnvarojumam, kas paredz, ka Ministru kabinets nosaka kārtību, kādā veic būvizstrādājumu tirgus uzraudzību, bet </w:t>
            </w:r>
            <w:r w:rsidR="00000000" w:rsidRPr="00000000" w:rsidDel="00000000">
              <w:rPr>
                <w:u w:val="single"/>
                <w:rtl w:val="0"/>
              </w:rPr>
              <w:t xml:space="preserve">būvizstrādājumiem, uz kuriem nav attiecināmas Eiropas Parlamenta un Padomes regulas (ES) Nr.305/2011, ar ko nosaka saskaņotus būvizstrādājumu tirdzniecības nosacījumus un atceļ Padomes direktīvu 89/106/EEK prasības (turpmāk - Regula Nr.305/2011)</w:t>
            </w:r>
            <w:r w:rsidR="00000000" w:rsidRPr="00000000" w:rsidDel="00000000">
              <w:rPr>
                <w:rtl w:val="0"/>
              </w:rPr>
              <w:t xml:space="preserve">, arī kārtību, kādā izvirza prasības būvizstrādājuma atbilstībai, pieprasa un saņem būvizstrādājumu paraugus, veic laboratoriskās vai cita veida ekspertīzes, un gadījumus, kad izdevumus par attiecīgu ekspertīžu veikšanu sedz būvizstrādājuma ražotājs vai izplatītājs. Proti, aicinām anotācijā nepārprotami norādīt, vai (ja ar projektā ietverto regulējumu tiek noteikta arī kārtība, kādā izvirza prasības būvizstrādājuma atbilstībai, pieprasa un saņem būvizstrādājumu paraugus, veic laboratoriskās vai cita veida ekspertīzes, un gadījumus, kad izdevumus par attiecīgu ekspertīžu veikšanu sedz būvizstrādājuma ražotājs vai izplatītājs) attiecīgie būvizstrādājumi ir </w:t>
            </w:r>
            <w:r w:rsidR="00000000" w:rsidRPr="00000000" w:rsidDel="00000000">
              <w:rPr>
                <w:u w:val="single"/>
                <w:rtl w:val="0"/>
              </w:rPr>
              <w:t xml:space="preserve">būvizstrādājumi, uz kuriem nav attiecināmas Regulas Nr.305/2011 prasības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anotācijas 5.4.apakšsadaļā norādītās Direktīvas Nr.2013/59/Euratom prasības, kuras pārņemtas noteikumu 2.</w:t>
            </w:r>
            <w:r w:rsidR="00000000" w:rsidRPr="00000000" w:rsidDel="00000000">
              <w:rPr>
                <w:vertAlign w:val="superscript"/>
                <w:rtl w:val="0"/>
              </w:rPr>
              <w:t xml:space="preserve">2</w:t>
            </w:r>
            <w:r w:rsidR="00000000" w:rsidRPr="00000000" w:rsidDel="00000000">
              <w:rPr>
                <w:rtl w:val="0"/>
              </w:rPr>
              <w:t xml:space="preserve"> pielikuma 1. punktā un 30.</w:t>
            </w:r>
            <w:r w:rsidR="00000000" w:rsidRPr="00000000" w:rsidDel="00000000">
              <w:rPr>
                <w:vertAlign w:val="superscript"/>
                <w:rtl w:val="0"/>
              </w:rPr>
              <w:t xml:space="preserve">13 </w:t>
            </w:r>
            <w:r w:rsidR="00000000" w:rsidRPr="00000000" w:rsidDel="00000000">
              <w:rPr>
                <w:rtl w:val="0"/>
              </w:rPr>
              <w:t xml:space="preserve">punktā (proti, nevis direktīvas 72.panta, bet gan </w:t>
            </w:r>
            <w:r w:rsidR="00000000" w:rsidRPr="00000000" w:rsidDel="00000000">
              <w:rPr>
                <w:u w:val="single"/>
                <w:rtl w:val="0"/>
              </w:rPr>
              <w:t xml:space="preserve">75.panta</w:t>
            </w:r>
            <w:r w:rsidR="00000000" w:rsidRPr="00000000" w:rsidDel="00000000">
              <w:rPr>
                <w:rtl w:val="0"/>
              </w:rPr>
              <w:t xml:space="preserve"> 1.punkts un 2.punkta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radiācijas drošību un kodoldrošību" 9.panta 2.</w:t>
            </w:r>
            <w:r w:rsidR="00000000" w:rsidRPr="00000000" w:rsidDel="00000000">
              <w:rPr>
                <w:vertAlign w:val="superscript"/>
                <w:rtl w:val="0"/>
              </w:rPr>
              <w:t xml:space="preserve">3</w:t>
            </w:r>
            <w:r w:rsidR="00000000" w:rsidRPr="00000000" w:rsidDel="00000000">
              <w:rPr>
                <w:rtl w:val="0"/>
              </w:rPr>
              <w:t xml:space="preserve"> daļā Ministru kabinets ir pilnvarots noteikt tikai preču radioaktīvā piesārņojuma kontroles kārtību, savukārt no Būvniecības likuma 5.panta pirmās daļas 10.punkta izriet, ka Ministru kabinets ir pilnvarots noteikt kārtību, kādā izvirza prasības būvizstrādājuma atbilstībai, tikai attiecībā uz būvizstrādājumiem, uz kuriem nav attiecināmas Regulas Nr.305/2011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izvērtēt, vai projekta 1.8.apakšpunktā ietvertā Ministru kabineta 2014.gada 25.marta noteikumu Nr.156 "Būvizstrādājumu tirgus uzraudzības kārtība" (turpmāk – Noteikumi Nr.156) IV.</w:t>
            </w:r>
            <w:r w:rsidR="00000000" w:rsidRPr="00000000" w:rsidDel="00000000">
              <w:rPr>
                <w:vertAlign w:val="superscript"/>
                <w:rtl w:val="0"/>
              </w:rPr>
              <w:t xml:space="preserve">4</w:t>
            </w:r>
            <w:r w:rsidR="00000000" w:rsidRPr="00000000" w:rsidDel="00000000">
              <w:rPr>
                <w:rtl w:val="0"/>
              </w:rPr>
              <w:t xml:space="preserve"> nodaļa, kas noteic prasības attiecībā uz jonizējošo starojumu no noteiktiem būvizstrādājumu veidiem un būvizstrādājumu paraugu ņemšanu, atbilst likuma "Par radiācijas drošību un kodoldrošību" 9.panta 2.</w:t>
            </w:r>
            <w:r w:rsidR="00000000" w:rsidRPr="00000000" w:rsidDel="00000000">
              <w:rPr>
                <w:vertAlign w:val="superscript"/>
                <w:rtl w:val="0"/>
              </w:rPr>
              <w:t xml:space="preserve">3</w:t>
            </w:r>
            <w:r w:rsidR="00000000" w:rsidRPr="00000000" w:rsidDel="00000000">
              <w:rPr>
                <w:rtl w:val="0"/>
              </w:rPr>
              <w:t xml:space="preserve"> daļā un Būvniecības likuma 5.panta pirmās daļas 10.punktā noteiktajam Ministru kabineta pilnvarojumam, ņemot vērā, ka Ministru kabinets ir pilnvarots noteikt kārtību, kādā izvirza prasības būvizstrādājuma atbilstībai, tikai attiecībā uz būvizstrādājumiem, uz kuriem nav attiecināmas Regulas Nr.305/2011 prasības, nevis uz jebkuriem būvizstrādājumiem. Lūdzam attiecīgi precizēt projektu vai papildināt anotāciju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preču radioaktīvā piesārņojuma kontroles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"preces" ir plašāks termins, kas ietver ne tikai būvizstrādājumus, bet arī citus preču veidus, bet projektā ietverto regulējumu ir paredzēts attiecināt tikai uz būvizstrādājumiem, lūdzam projekta 1.2.apakšpunktā ietvertajā Noteikumu Nr.156 1.2.apakšpunktā konkrētajā gadījumā termina "preču" vietā lietot terminu "būvizstrādājumu". Pretējā gadījumā projekts būtu jāpapildina ar regulējumu, kas aptver arī citu preču (ne tikai būvizstrādājumu) radioaktīvā piesārņojuma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saņemta informācija no citu valstu iestādēm attiecībā uz šajās valstīs konstatētajiem gadījumiem, kad būvizstrādājumos radioaktivitātes līmenis neatbilst normatīvo aktu prasībām vai var radīt apdraudējumu cilvēka veselībai, vai arī ir aizdomas par iespējamu preces neatbilstību radiācijas drošības prasībām vai iespējamo apdraudējumu cilvēka veselībai precēs esošā radioaktīvā piesārņojuma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1.5.apakšpunktā ietvertajā Noteikumu Nr. 156 5.</w:t>
            </w:r>
            <w:r w:rsidR="00000000" w:rsidRPr="00000000" w:rsidDel="00000000">
              <w:rPr>
                <w:vertAlign w:val="superscript"/>
                <w:rtl w:val="0"/>
              </w:rPr>
              <w:t xml:space="preserve">1</w:t>
            </w:r>
            <w:r w:rsidR="00000000" w:rsidRPr="00000000" w:rsidDel="00000000">
              <w:rPr>
                <w:rtl w:val="0"/>
              </w:rPr>
              <w:t xml:space="preserve">3.punktā lietoto terminoloģiju, aizstājot terminu “prece” ar terminu “būvizstrādājumi”.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24-TA-1987</w:t>
    </w:r>
    <w:r>
      <w:br/>
    </w:r>
    <w:r w:rsidR="00000000" w:rsidRPr="00000000" w:rsidDel="00000000">
      <w:rPr>
        <w:rtl w:val="0"/>
      </w:rPr>
      <w:t xml:space="preserve">Izdrukāts 23.01.2025.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24-TA-1987</w:t>
    </w:r>
    <w:r>
      <w:br/>
    </w:r>
    <w:r w:rsidR="00000000" w:rsidRPr="00000000" w:rsidDel="00000000">
      <w:rPr>
        <w:rtl w:val="0"/>
      </w:rPr>
      <w:t xml:space="preserve">Izdrukāts 23.01.2025.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Atzinumi_24-TA-1987.docx</dc:title>
</cp:coreProperties>
</file>

<file path=docProps/custom.xml><?xml version="1.0" encoding="utf-8"?>
<Properties xmlns="http://schemas.openxmlformats.org/officeDocument/2006/custom-properties" xmlns:vt="http://schemas.openxmlformats.org/officeDocument/2006/docPropsVTypes"/>
</file>