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iesniedzējs, saglabājot atbildību par projekta īstenošanu, mērķu sasniegšanu, izdevumu attiecināmību, kā arī maksājumu veikšanu un iepirkuma procedūras veikšanu, var piesaistīt sadarbības partneri. Sadarbības partneris ar projektu saistītās dokumentācijas izstrādē un projekta īstenošanā var iesaistīties tikai ar tā resursiem – ar finansējumu, nodrošinot izbūvētās infrastruktūras ekspluatāciju un uzturēšanu pēc projekta īstenošanas atbilstoši savstarpēji noslēgtajam līgumam ar projekta iesniedzēju, vai ar tā valdījumā esošu nekustamo īpašumu, ievērojot šo noteikumu </w:t>
            </w:r>
            <w:r w:rsidR="00000000" w:rsidRPr="00000000" w:rsidDel="00000000">
              <w:rPr>
                <w:rtl w:val="0"/>
              </w:rPr>
              <w:t xml:space="preserve">27.8. </w:t>
            </w:r>
            <w:r w:rsidR="00000000" w:rsidRPr="00000000" w:rsidDel="00000000">
              <w:rPr>
                <w:rtl w:val="0"/>
              </w:rPr>
              <w:t xml:space="preserve">apakšpunkta</w:t>
            </w:r>
            <w:r w:rsidR="00000000" w:rsidRPr="00000000" w:rsidDel="00000000">
              <w:rPr>
                <w:rtl w:val="0"/>
              </w:rPr>
              <w:t xml:space="preserve"> ​​​​​​nosacījumus.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2.punkta redakcijas nav skaidrs, kāda būs sadarbības partnera loma un uz kādiem nosacījumiem tas tiks iesaistīts projektā, kā arī tas, vai tiešām sadarbības partnera izvēlē netiks piemērota atlases procedūra. Lūdzam precizēt noteikumu projektu, kā arī lūdzam skaidrot sadarbības partnera lomu arī anotācijā. Vienlaikus, nav skaidrs, kā un vai sadarbības partnera līmenī tiks izslēgts komercdarbības atbalsts. Skaidrojam, ka ekonomiskās priekšrocības piešķiršanu sadarbības partnera līmenī ir iespējams izslēgt vien tad, ja tiek organizēta atklāta, pārredzama, nediskriminējoša un konkurenci neierobežojoša procedūra, kas atbilst publiskā iepirkuma principiem (skat. Eiropas Komisijas Paziņojuma par Līguma par Eiropas Savienības darbību 107.panta 1.punktā minēto valsts atbalsta jēdzienu ((2016/C 262/01) 89.-96.punkts), un attiecīgi uz sadarbības partnera līmeni nebūtu jāpiemēro komercdarbības atbalsta kontroles regulējuma nosacījumi. Ja plānots, ka šīs atbalsta programmas ietvaros komercdarbības atbalsta saņēmējs būs arī sadarbības partneris, papildus ir nepieciešams nodrošināt, ka arī sadarbības partneris tiek vērtēts komercdarbības atbalsta kontekstā. Attiecīgi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izbūvēti seši videi draudzīgi mobilitātes punkti Rīgas pilsētā;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plānoti vairāki projekti, lūdzam rādītājus noteikt katram no īstenojamiem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izbūvēti seši videi draudzīgi mobilitātes punkti Rīgas pilsētā;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kādēļ rādītāji nesaskan ar Eiropas Padomes lēmuma pielikumā (2.lpp.) minēto mērķi izbūvēt videi draudzīgus mobilitātes mezglus (</w:t>
            </w:r>
            <w:r w:rsidR="00000000" w:rsidRPr="00000000" w:rsidDel="00000000">
              <w:rPr>
                <w:b w:val="1"/>
                <w:rtl w:val="0"/>
              </w:rPr>
              <w:t xml:space="preserve">sešus reģionālos </w:t>
            </w:r>
            <w:r w:rsidR="00000000" w:rsidRPr="00000000" w:rsidDel="00000000">
              <w:rPr>
                <w:rtl w:val="0"/>
              </w:rPr>
              <w:t xml:space="preserve">un </w:t>
            </w:r>
            <w:r w:rsidR="00000000" w:rsidRPr="00000000" w:rsidDel="00000000">
              <w:rPr>
                <w:b w:val="1"/>
                <w:rtl w:val="0"/>
              </w:rPr>
              <w:t xml:space="preserve">divus vietējos </w:t>
            </w:r>
            <w:r w:rsidR="00000000" w:rsidRPr="00000000" w:rsidDel="00000000">
              <w:rPr>
                <w:rtl w:val="0"/>
              </w:rPr>
              <w:t xml:space="preserve">mobilitātes punktus), neatkarīgu ātrgaitas transporta līniju, kas paredzēta sabiedriskajam transportam, un </w:t>
            </w:r>
            <w:r w:rsidR="00000000" w:rsidRPr="00000000" w:rsidDel="00000000">
              <w:rPr>
                <w:b w:val="1"/>
                <w:rtl w:val="0"/>
              </w:rPr>
              <w:t xml:space="preserve">tramvaja līnijas pagarināšanu par 3,5 km</w:t>
            </w:r>
            <w:r w:rsidR="00000000" w:rsidRPr="00000000" w:rsidDel="00000000">
              <w:rPr>
                <w:rtl w:val="0"/>
              </w:rPr>
              <w:t xml:space="preserve">, lai atbalstītu multimodālā transporta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līdz 2026.gada 31.maijam ir sasniedzami šādi specifiskie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vadlīnijas informatīvā ziņojuma vai Ministru kabineta noteikumu izstrādei par Eiropas Savienības Atveseļošanas un noturības mehānisma plāna reformas vai investīcijas ieviešanu 16.punkta terminoloģiju “</w:t>
            </w:r>
            <w:r w:rsidR="00000000" w:rsidRPr="00000000" w:rsidDel="00000000">
              <w:rPr>
                <w:b w:val="1"/>
                <w:rtl w:val="0"/>
              </w:rPr>
              <w:t xml:space="preserve">nacionālais rādītājs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līdz 2026.gada 31.maijam ir sasniedzami šādi specifiskie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noteikt, kuri atskaites punkti, mērķi ir attiecināmi uz investīcijas pasākumiem, kas dos pārliecību, ka AF plānā noteiktie rādītāji ir sasniegti – pamatojošā dokumentācija, citi pierādījumi, kā arī iekļaut pienākumu finansējuma saņēmējam šo informāciju/dokumentāciju iesniegt Vadības informācijas sistēmā pārbaudes par to sasniegšanu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Atbalsts tiek sniegts granta veidā, sasniedzot projekta mērķi un ievērojot šo noteikumu </w:t>
            </w:r>
            <w:r w:rsidR="00000000" w:rsidRPr="00000000" w:rsidDel="00000000">
              <w:rPr>
                <w:rtl w:val="0"/>
              </w:rPr>
              <w:t xml:space="preserve">34. </w:t>
            </w:r>
            <w:r w:rsidR="00000000" w:rsidRPr="00000000" w:rsidDel="00000000">
              <w:rPr>
                <w:rtl w:val="0"/>
              </w:rPr>
              <w:t xml:space="preserve">punkta</w:t>
            </w:r>
            <w:r w:rsidR="00000000" w:rsidRPr="00000000" w:rsidDel="00000000">
              <w:rPr>
                <w:rtl w:val="0"/>
              </w:rPr>
              <w:t xml:space="preserve"> nosacījumus. AF atbalsta intensitāte projekta iesniegumā norādītajai attiecināmajai izmaksu pozīcijai ir 100 procenti.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kas ir projekta mērķi, vai lietot vienotu terminoloģiju visā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saskaņā ar šajos noteikumos minētajiem nosacījumiem piešķir Aģentūra, noslēdzot vienošanos ar finansējuma saņēmēju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finansējuma izlietošanas un uzraudzības kārtību, kā arī citiem investīcijas īstenošanas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 projektu, līdz ar to atbildīgs var būt par konkrētā projekta īstenošanas nosacījumiem. Aicinām aizstāt vārdu “investīcijas” ar vārdu “projekts”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Sadarbības partneris nav tiesīgs ar projekta īstenošanu saistītās tiesības un pienākumus nodot citai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kādus sadarbības partnerus projekta iesniedzējs var piesaistīt, uzskaitot tos, vai kādiem kritērijiem jāatbilst piesaistītajiem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projekta īstenošanai nepieciešamās informācijas iesniegšanu nodrošina Kohēzijas politikas fondu vadības informācijas sistēmā (turpmāk – Vadības informācijas sistēmā), ja uz informācijas iesniegšanas brīdi ir nodrošināta tās funkcionalitāte, vai elektroniska dokumenta veidā, izmantojot Ministrijas tīmekļa vietnē norādīto elektronisko pasta adresi un projekta iesniedzēja tīmekļa vietnē norādīto elektronisko pasta adresi, parakstot to ar drošu elektronisko parakstu, kas satur laika zīmogu, ja uz informācijas iesniegšanas brīdi nav nodrošināta Vadības informācijas sistēmas funkcionalitāte.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Kohēzijas politikas fondu vadības informācijas sistēmas funkcionalitāte jau ir nodrošināta, lūdzam precizēt Ministru kabineta noteikumu projekta 17. punktu un turpmāk atbilstošos punktus (piemēram, 18.punkta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Ministrija pēc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informācijas saņemšanas no projekta iesniedzēja organizē iesniegtās projekta informācijas pārbaudi atbilstoši AF reformas investīcijas mērķim un šajos noteikumos noteiktajam, ja nepieciešams, lūdz projekta iesniedzēju veikt papildinājumus un precizējumus iesniegtajā informācijā, nosakot termiņus precizējumu un papildinājumu iesniegšanai. Precizējumi tiek veikti, līdz projekta informācija atbilst visām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sadaļu “I. Vispārīgie jautājumi” ar konkrēto AF reformas investīcijas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finansējuma saņēmējs atbilst šajos noteikumos un AF plānā noteiktajiem nosacījumiem, tai skaitā nav piemērojami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noteiktie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šajā apakšpunktā nepieciešamību CFLA pārbaudīt, vai finansējuma saņēmējs atbilst šajos noteikumos un AF plānā noteiktajiem nosacījumiem, jo to veic ministrija. CFLA sniegs informāciju izslēgšanas kritēriju piemērošanai un par nodokļu parādu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Pirms Ministrijas lēmuma pieņemšanas par projekta iesniegumu atbilstību visām izvirzītajām prasībām, Ministrija lūdz Aģentūrai sniegt informāciju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18.3.1. finansējuma saņēmējam nav piemērojami šo noteikumu 16. punktā noteiktie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18.3.2. finansējuma saņēmējam nav nodokļu parādi Latvijas Republikā, kas kopsummā pārsniedz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18.3.2. finansējuma saņēmējam nav nodokļu parādi Latvijas Republikā, kas kopsummā pārsniedz 1 000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likumu “Par nodokļiem un nodevām” informācija par parādniekiem tiek iekļauta VID administrētajā datu bāzē sākot no 150 euro. Tāpat nepieciešams nodrošinātu vienoto pieeju pret visiem Atveseļošanas fonda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Aģentūra pēc šo noteiumu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informācijas saņemšanas un pirms līguma par projekta īstenošanu noslēgšanu starp Aģentūru un finansējuma saņēmēju organizē iesniegtās projekta informācijas pārbaudi attiecībā uz šajos noteikumos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noteikto, ja nepieciešams, lūdzot finansējuma saņēmēju veikt papildinājumus un precizējumus iesniegtajā informācijā, nosakot termiņus precizējumu un papildinājumu iesniegšanai. Precizējumi tiek veikti līdz projekta informācija atbilst visām izvirzītajām prasībām. Pēc Ministrijas lēmuma pieņemšanas par projekta informācijas atbilstību visām izvirzītajām prasībām informē Aģentūru par atļauju uzsākt šo noteikumu </w:t>
            </w:r>
            <w:r w:rsidR="00000000" w:rsidRPr="00000000" w:rsidDel="00000000">
              <w:rPr>
                <w:rtl w:val="0"/>
              </w:rPr>
              <w:t xml:space="preserve">9.</w:t>
            </w:r>
            <w:r w:rsidR="00000000" w:rsidRPr="00000000" w:rsidDel="00000000">
              <w:rPr>
                <w:rtl w:val="0"/>
              </w:rPr>
              <w:t xml:space="preserve">punktā</w:t>
            </w:r>
            <w:r w:rsidR="00000000" w:rsidRPr="00000000" w:rsidDel="00000000">
              <w:rPr>
                <w:rtl w:val="0"/>
              </w:rPr>
              <w:t xml:space="preserve"> minētā vienošanās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šajā apakšpunktā aģentūras pienākumu projekta iesnieguma pārbaudes veikšanai, ņemot vērā, ka tas ir nozares ministrijas pienākums. Aģentūra pēc ministrijas pieprasījuma sniegs informāciju, kas ministrijai nepieciešama izslēgšanas kritēriju piemērošanas pārbaudei un par nodokļu parādu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ietvaros plāno šādas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kopumā nav saprotams, vai attiecīgās investīcijas īstenošana ir/nav kvalificējama kā komercdarbības atbalsts. Lūdzam papildināt noteikumu projektu un anotāciju ar izvērtējumu komercdarbības atbalsta kontroles kontekstā attiecīgi par infrastruktūras īpašnieku, apsaimniekotāju un gala lietotāju, ņemot vērā noteikumu projekta 20.punktā minētās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iesnieguma pamatojošās dokumentācijas sagatavošanas izmaksas, tai skaitā izmaksu un ieguvumu analīzes izstrādes izmaksas un tehniski ekonomiskā pamatojuma izstrādes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šo noteikumu ietvaros ir plānots saimnieciskai darbībai, tad arī 20.1., 20.2., 20.3., 20.4, 20.12., 20.16., 20.17. minētās izmaksas saistītas ar saimnieciskās darbības veikšanai nepieciešamajiem ieguldījumiem un uz tiem būtu attiecināms komercdarbības atbalsta regulējums. Lūdzam, kopsakarā ar iebildumu pie noteikumu projekta 20.punkta, par katru no augstākminētajos apakšpunktos norādītajām attiecināmajām izmaksām veikt izvērtējumu komercdarbības atbalsta kontroles kontekstā un attiecīgi precizēt noteikumu projektu kā arī papildināt anotāciju. Piemēram, ja noteikumu projekta 20.apakšpunktos minētās izmaksas ir saistītas ar publiskās lietošanas infrastruktūru (piemēram, skatīt 20.5., 20.6., 20.7. un 20.8. apakšpunktus), aicinām to attiecīgi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mobilitātes punktu funkcionalitātes nodrošināšanai nepieciešamās infrastruktūras, tai skaitā mikromobilitātes infrastruktūras, bezemisiju transportlīdzekļu koplietošanas vietu, būvniecības, pārbūves un atjaunošanas izmaksas, parastas jaudas uzlādes punktu izveides izmaksas, kā arī ar to pieejamību un savienojamību saistītās infrastruktūras būvniecības, pārbūves un atjaunošanas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un noteikumu projektā ir pretrunīga informācija par parastas jaudas uzlādes punktiem - anotācijā vienlaikus ir norādīts gan, ka parastās jaudas uzlādes punktu infrastruktūrai jābūt publiski pieejamai transporta īpašniekiem, jākalpo sabiedrības vajadzību un interešu nodrošināšanai un jābūt pieejamai ikvienai personai, gan arī, ka parastās jaudas uzlādes punktu, ātrgaitas pilsētas sabiedriskā transporta infrastruktūras, tramvaja līniju infrastruktūras izbūve ir saderīga ar ES iekšējo tirgu, jo tiks piemērota Regula Nr.1370/2007, savukārt noteikumu projekta 27.10.apakšpunktā ir noteikts, ka uzlādes infrastruktūra ir paredzēta elektrisko transportlīdzekļu uzlādei. Lūdzam atbilstoši precizēt noteikumu projektu un anotāciju, kad ir panākta skaidrība par to, kam tieši ir paredzēta parastas jaudas uzlādes infrastruktūra un kurš būtu atbalsta saņēmējs – sabiedriskā transporta pakalpojumu nodrošināšanas (kam piemēro Regulu Nr. 1370/2007) subjekts vai ikviens iedzīvotājs. Arī attiecībā uz atbalstu šai infrastruktūru nepieciešams izvērtējums komercdarbības atbalsta kontroles kontekstā - īpašnieka, apsaimniekotāja un gala lietotāja līmenī. Un attiecīgi, ja atbalsts kādā no līmeņiem šādai infrastruktūrai kvalificējams kā komercdarbības atbalsts, jāpiemēro atbilstošs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valsts publiskās lietošanas dzelzceļa infrastruktūras būvniecības, pārbūves vai atjaunošanas izmaksas, kas ir tieši nepieciešamas projektā paredzēto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sniegta atsauce uz Komisijas paziņojuma “Kopienas vadlīnijas valsts atbalstam dzelzceļa uzņēmumiem” 25.punktu, par to, ka valsts publiskās lietošanas dzelzceļa infrastruktūras būvniecība, pārbūve vai atjaunošana nav uzskatāma par valsts atbalstu, lai noteikumu projekta ietvaros pamatotu, ka saskaņā ar šo vadlīniju punktu, šādas infrastruktūras būvniecības, pārbūves vai atjaunošanas izmaksas nav uzskatāmas par komercdarbības atbalstu, noteikumos ir jābūt skaidri noteiktam, ka finansējuma saņēmējs nodrošinās, ka pēc projekta īstenošanas projekta ietvaros radītā infrastruktūra būs vienlīdzīgi un bez diskriminācijas pieejama visiem potenciālajiem lietotājiem un par piekļuvi šai infrastruktūrai tiks noteikta adekvāta samaksa.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ar mobilitātes punktu, tramvaja un neatkarīgās sabiedriskā transporta līnijas izveidi saistītās izmaksas,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w:t>
            </w:r>
            <w:r w:rsidR="00000000" w:rsidRPr="00000000" w:rsidDel="00000000">
              <w:rPr>
                <w:i w:val="1"/>
                <w:rtl w:val="0"/>
              </w:rPr>
              <w:t xml:space="preserve">Investīcijas ietvaros paredzētā sabiedriskā transporta – parastās jaudas uzlādes punktu, ātrgaitas pilsētas sabiedriskā transporta infrastruktūras, tramvaja līniju infrastruktūras izbūve ir saderīga ar ES iekšējo tirgu, jo tiks piemērota Regula Nr.1370/2007</w:t>
            </w:r>
            <w:r w:rsidR="00000000" w:rsidRPr="00000000" w:rsidDel="00000000">
              <w:rPr>
                <w:rtl w:val="0"/>
              </w:rPr>
              <w:t xml:space="preserve">", lai pārliecinātos, ka attiecīgo regulu var piemērot investīcijas īstenošanā, noteikumu projektā ir jāiekļauj nosacījums, ka ir noslēgts līgums atbilstoši 2007.gada 23.oktobra</w:t>
            </w:r>
            <w:r w:rsidR="00000000" w:rsidRPr="00000000" w:rsidDel="00000000">
              <w:rPr>
                <w:i w:val="1"/>
                <w:rtl w:val="0"/>
              </w:rPr>
              <w:t xml:space="preserve"> Eiropas Parlamenta un Padomes Regulas Nr.1370/2007 par sabiedriskā pasažieru transporta pakalpojumiem, izmantojot dzelzceļu un autoceļus, un ar ko atceļ Padomes Regulu Nr.1191/69 un Padomes Regulu Nr.1107/70</w:t>
            </w:r>
            <w:r w:rsidR="00000000" w:rsidRPr="00000000" w:rsidDel="00000000">
              <w:rPr>
                <w:rtl w:val="0"/>
              </w:rPr>
              <w:t xml:space="preserve"> 4.pantam un, plānojot atbalstu, būtu jāpārliecinās, ka līguma saturs pieļauj šeit minēto izmaksu attiecināšanu transporta sabiedrisko pakalpojumu sniedzējiem, kā arī noteikumu projektu ir nepieciešams papildināt ar nosacījumu par pārkompensācijas uzraudzību un atgūšanu nelikumīga komercdarbības atbalsta gadījumā. (Lūdzam pēc līdzības skatīt Ministru kabineta 2020. gada 28. jūlija noteikumus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un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satiksmes organizācijas tehnisko līdzekļu un informatīvās infrastruktūras (informatīvas norādes, informatīvi stendi) izveides un uzstādīšanas izmaksas, ne vairāk kā 10 procentu apmērā no projekta būvdarbu līguma vai apvienotā būvprojekta izstrādes un būvdarbu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nav skaidrs, kas gūst labumu no atbalsta sniegšanas 20.13.apakšpunktā minētajai infrastruktūrai, lūdzam atbilstoši precizēt noteikumu projektu, tostarp, vai atbalsts ir paredzēts publiskai infrastruktūra (piemēram, ceļazīmes) un tā ir saistīta ar publiskās lietošanas infrastruktūru un labumu no tā gūst ikviens infrastruktūras lietotājs, vai  arī labumu gūst sabiedriskā transporta pakalpojuma sniedzējs, jo attiecīgās norādes un stendi saskaņā ar normatīvajos aktos noteikto ir tā atbildība vai saistīta ar tā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Investīcijas ietvaros pievienotās vērtības nodokļa (turpmāk – PVN) izmaksas nav attiecināmas no AF finansējuma, bet šādas izmaksas ir iekļaujamas AF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23.punktu, nosakot, ka minētās prasības ir attiecināmas, ja finansējuma saņēmējs plāno aizņemties finanšu līdzekļus no Valsts kases, papildinot ar teikuma daļu “un sedzamas no finansējuma saņēmēja līdzekļiem vai aizņēmuma Valsts kasē atbilstoši valsts budžeta likumā noteiktajiem nosacījumiem. Ja PVN izmaksas sedzamas no aizņēmuma Valsts kasē:”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pievienotās vērtības nodokļa (turpmāk – PVN) izmaksas nav attiecināmas no AF finansējuma, bet šādas izmaksas ir iekļaujamas AF projektos </w:t>
            </w:r>
            <w:r w:rsidR="00000000" w:rsidRPr="00000000" w:rsidDel="00000000">
              <w:rPr>
                <w:b w:val="1"/>
                <w:rtl w:val="0"/>
              </w:rPr>
              <w:t xml:space="preserve">un sedzamas no finansējuma saņēmēja līdzekļiem vai aizņēmuma Valsts kasē atbilstoši valsts budžeta likumā noteiktajiem nosacījumiem. Ja PVN izmaksas sedzamas no aizņēmuma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Investīcijas ietvaros pievienotās vērtības nodokļa (turpmāk – PVN) izmaksas nav attiecināmas no AF finansējuma, bet šādas izmaksas ir iekļaujamas AF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23.punktu, norādot, no kādiem līdzekļiem tiks segtas PVN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pievienotās vērtības nodokļa (turpmāk – PVN) izmaksas nav attiecināmas no AF finansējuma, bet šādas izmaksas ir iekļaujamas AF projektos, </w:t>
            </w:r>
            <w:r w:rsidR="00000000" w:rsidRPr="00000000" w:rsidDel="00000000">
              <w:rPr>
                <w:b w:val="1"/>
                <w:rtl w:val="0"/>
              </w:rPr>
              <w:t xml:space="preserve">un tās sedz finansējuma saņēmējs. Ja PVN izmaksu segšanai tiek ņemts valsts budžeta aizņēmums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projekta ieviešanas progresa un sasniegto rādītāju pārbaudes, tai skaitā pamatojošās dokumentācijas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ir iekļauti tikai nacionālie rādītāji, nepieciešams papildināt ar informāciju, kā Aģentūrai gūt pārliecību par šo rādītāju sasniegšanu – pamatojošā dokumentācija, citi pierādījumi, kā arī iekļaut pienākumu finansējuma saņēmējam šo informāciju/dokumentāciju iesniegt Vadības informācijas sistēmā pārbaudes par to sasniegšanu nodrošināšanai. Lūdzu skatīt arī iebildumu pie MK noteikumu projekta 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var saņemt noslēguma maksājumu pēc investīcijas 1.1.1.2.i. atskaites punktu un mērķrādītāju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32. punktu (vai sniegt atsauci uz 6.punktu), kuri tieši atskaites punkti, mērķi ir jāsasniedz un ir attiecināmi uz investīcijas pasākumiem, kas dos pārliecību, ka AF plānā noteiktie rādītāji ir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iebildumu pie MK noteikumu 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Projektam komercdarbības atbalsta nosacījumu uzraudzību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finansējuma saņēmējiem nodrošina saskaņā ar </w:t>
            </w:r>
            <w:r w:rsidR="00000000" w:rsidRPr="00000000" w:rsidDel="00000000">
              <w:rPr>
                <w:rtl w:val="0"/>
              </w:rPr>
              <w:t xml:space="preserve">Komercdarbības atbalsta kontroles likuma</w:t>
            </w:r>
            <w:r w:rsidR="00000000" w:rsidRPr="00000000" w:rsidDel="00000000">
              <w:rPr>
                <w:rtl w:val="0"/>
              </w:rPr>
              <w:t xml:space="preserve"> 9.pantā noteikto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nav skaidrs, vai ir paredzēta komercdarbības atbalsta piešķiršana finansējuma saņēmējiem. Ja ir plānots, ka investīciju atbalsts ir kvalificējams kā komercdarbības atbalsts atsevišķām darbībām, lūdzu </w:t>
            </w:r>
            <w:r w:rsidR="00000000" w:rsidRPr="00000000" w:rsidDel="00000000">
              <w:rPr>
                <w:u w:val="single"/>
                <w:rtl w:val="0"/>
              </w:rPr>
              <w:t xml:space="preserve">noteikumu projektā</w:t>
            </w:r>
            <w:r w:rsidR="00000000" w:rsidRPr="00000000" w:rsidDel="00000000">
              <w:rPr>
                <w:rtl w:val="0"/>
              </w:rPr>
              <w:t xml:space="preserve"> paredzēt, kādām konkrēti darbībām ir piešķirams komercdarbības atbalsts, kāds komercdarbības atbalsta regulējums būs piemērojams, kādi nosacījumi būs jāievēro atbalsta saņēmējam, kura iestāde būs komercdarbības atbalsta piešķīrēja un kura iestāde veiks komercdarbības atbalsta uzraudzību. Skaidrojam, ka atbilstoši Ministru kabineta 07.09.2021. noteikumiem Nr. 621 "Eiropas Savienības Atveseļošanas un noturības mehānisma plāna īstenošanas un uzraudzības kārtība", ja netiek organizēta projektu iesniegumu atlase, tad CFLA nav komercdarbības atbalsta piešķīrēja un attiecīgi neveic komercdarbības atbalsta nosacījumu uzraudzību. Līdz ar to aicinām noteikumu projektā, papildus iepriekš minētajam, noteikt institūciju, kas būs komercdarbības atbalsta piešķīrēja un uzraudzītāja. Tāpat vēršam uzmanību, ka noteikumu projektā nav korekti lietota atsauce uz Komercdarbības atbalsta kontroles likuma 9.pantu, lūdzu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Grantiņa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Projektam komercdarbības atbalsta nosacījumu uzraudzību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finansējuma saņēmējiem nodrošina saskaņā ar </w:t>
            </w:r>
            <w:r w:rsidR="00000000" w:rsidRPr="00000000" w:rsidDel="00000000">
              <w:rPr>
                <w:rtl w:val="0"/>
              </w:rPr>
              <w:t xml:space="preserve">Komercdarbības atbalsta kontroles likuma</w:t>
            </w:r>
            <w:r w:rsidR="00000000" w:rsidRPr="00000000" w:rsidDel="00000000">
              <w:rPr>
                <w:rtl w:val="0"/>
              </w:rPr>
              <w:t xml:space="preserve"> 9.pantā noteikto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kontroles likuma 9.panta (1) un (2) daļā ir noteiktas Finanšu ministrijas un Zemkopības ministrijas kompetences komercdarbības atbalsta kontroles jomā, savukārt (3) daļā minēts, ka (3) “</w:t>
            </w:r>
            <w:r w:rsidR="00000000" w:rsidRPr="00000000" w:rsidDel="00000000">
              <w:rPr>
                <w:i w:val="1"/>
                <w:rtl w:val="0"/>
              </w:rPr>
              <w:t xml:space="preserve">Atbalsta sniedzējs uzrauga atbalsta programmas, individuālā atbalsta projektus un ad-hoc atbalsta projektus to ieviešanas laikā un pēc atbalsta programmu, individuālā atbalsta un ad-hoc atbalsta projektu īstenošanas, nodrošinot komercdarbības atbalsta nosacījumu ievērošanu</w:t>
            </w:r>
            <w:r w:rsidR="00000000" w:rsidRPr="00000000" w:rsidDel="00000000">
              <w:rPr>
                <w:rtl w:val="0"/>
              </w:rPr>
              <w:t xml:space="preserve">”. Lūdzam ņemt vērā, ka atsauce uz visu KAKL 9.pantu ir pārāk plaša un mulsinoša. Lūdzam precizēt noteikumu projekta 36.punkta redakciju, un sniegt skaidrojumu anotācijā. Vienlaikus skaidrojam, ka atbalsta programmas izstrādātājs parasti tajā skaidri uzraksta, kura būs tā iestāde, kas nodrošinās uzraudzību (jo atbilstoši atbalsta sniedzēja definīcijai KAKL 1.panta (2) daļas 4.punktā tas var būt gan atbalsta programmas izstrādātājs, gan iestāde, kas pieņēmusi lēmumu piešķirt atbalstu) un cik ilgu periodu uzraudzība tiks nodrošināta, jo iepriekšminētā KAKL 9.panta (3) daļa nenosaka uzraudzības ilgumu, taču tas būtu sasaistāms ar atbalstīto aktīvu amortizācijas periodu. Papildus, lūdzam precizēt atsauci uz šo noteikumu punktu, jo noteikumu projekta 6.punktā ir minēti sasniedzamie rādītāji, nevis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ne vēlāk kā līdz 2026.gada 30.jūnijam iesniedz Aģentūrai projekta mērķu un rādītāju sasniegšanu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kuri mērķi ir domāti, ņemot vērā, ka MK noteikumu projektā uzskaitīti tikai nacionālie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CFLA nodrošinās "(..)  izlases veidā interešu konflikta, krāpšanas un korupcijas, kā arī dubultfinansējuma riska novēršanas pārbaužu veikšanu, pārbaužu projektu īstenošanas vietās veikšanu, projekta ieviešanas progresa un sasniegto rādītāju pārbaudes, tai skaitā pamatojošās dokumentācijas pārbaudes, datu ticamības pārbaudes, tai skaitā piešķir atbalstu un veic uzraudzību atbilstoši MK noteikumiem Nr.621". No citētā teksta nav saprotams, vai ir paredzēts, ka CFLA būs jāveic komercdarbības atbalsta piešķiršana un uzraudzība, jo MK noteikumi neparedz, ka CFLA būtu jāpiešķir komercdarbības atbalsts, tāpat noteikumi neparedz, kādām darbībām vai kuriem finansējuma saņēmējiem būtu piešķirams komercdarbības atbalsts, kā arī noteikumi nedefinē pienākumus, kādi rodas finansējuma saņēmējam, saņemot komercdarbības atbalstu. Lūdzu precizēt vai sniegt attiecīgu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Grantiņa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Rīgas valstspilsētas pašvaldības izvēli kā finansējuma saņēmēja noteikšanu visos Rīgai paredzētajos projektos, ņemot vērā, ka ir paredzētas darbības, kas ir saistītas tramvaja līnijas pagarinājuma izbūvi Rīgas pilsētā, kas, ņemot vērā līdzšinējo pieredzi projektu ieviešanā, ir darbības, kas ir Rīgas satiksmes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paredzēto tramvaju līnijas pagarinājuma vietu un paredzēto izbūves garumu km.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katram no Rīgas valstspilsētas pašvaldības projektos sasniedzamajiem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konkrētos mērķus/atskaites punktus vai uzraudzības rādītājus no ANM plāna, uz kuriem attiecināmi 1.1.1.2.i.2. un 1.1.1.2.i.3.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vārdus “specifiskie uzraudzības rādītāji” aizstāt ar vārdiem “nacionālie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atsaukties uz kuriem tieši investīcijas mērķiem attiecas 1.1.1.2.i.2. un 1.1.1.2.i.3. saistīto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paredz avansa izmaksu, lūdzam precizēt, vai ir domāts aizņēmums PVN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iespēja, ka finansējuma saņēmējs vēlēsies aizņemties no Valsts kases, tad aicinām papildināt anotāciju ar šādu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ņemot vērā, ka finansiālo ietekmi uz pašvaldību budžetiem veido PVN izmaksas, savukārt anotācijas 3.sadaļā norādītā finansiālā ietekme uz pašvaldību budžetiem neatbilst nepieciešamajam PVN apmēram atbilstoši anotācijā norādītajam AF finansējuma sadalījumam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finansējuma saņēmējam ir jānodrošina īstenojot projektu AF plāna 1.pielikumā “Principa Nenodarīt būtisku kaitējumu novērtējums”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apakšsadaļā "Cita informācija", ka finansējuma saņēmējam tiks veikts arī noslēguma maksājuma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kompetentās statistikas iestādes ir identificējušas, ka sākot no 2021.gada LDz neizpilda prasības, lai tas saglabātu klasifikāciju nefinanšu sabiedrību sektorā. Vienlaicīgi ES statistikas birojs Eurostat šā gada jūlija pārmērīga budžeta deficīta novēršanas procedūras dialoga misijas laikā izteica aicinājumu CSP līdz šā gada beigām izvērtēt LDz pārklasifikāciju uz vispārējās valdības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projekts radīs negatīvu ietekmi uz LDz iespējām izpildīt Eiropas Kontu sistēmas metodoloģijas nosacījumus ievērojot to, ka granta finansējums netiek atzīts kā uzņēmuma ieņēmumi un tiek palielināts uzņēmuma aktīvu nolietojuma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Ministru kabineta sēdes protokollēmumu ar jaunu punktu par investīciju projekta negatīvo ietekmi uz spēju LDz izpildīt Eiropas Kontu sistēmas metodoloģijas nosacījumus, lai tas varētu saglabāt klasifikāciju nefinanšu sabiedrību sektorā.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investīciju projekta īstenošana pasliktina VAS “Latvijas dzelzceļš” iespējas izpildīt Eiropas Kontu sistēmas metodoloģijas kritērijus, lai uzņēmums netiktu klasificēts vispārējās valdības sektorā.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Atveseļošanas un noturības mehānisma plāna (turpmāk – AF plāns)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(turpmāk – investīcija) un tās ietvaros apstiprinātos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apakšpunktā atrunāt saīsinājumu "AF" (Atveseļošanas un noturības mehānisms) un lietot to turpmāk tekstā pirms: plāna, atbalsta, reformas, finansējums u.tml., tādējādi novēršot, ka noteikumu projekta tekstā tiek lietots iepriekš atsevišķi neatrunāts saīsinājums (AF), piemēram,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Atveseļošanas un noturības mehānisma (turpmāk - AF)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(turpmāk – investīcija) un tās ietvaros apstiprinātos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izbūvēta sabiedriskā transporta infrastruktūra, kas ietver neatkarīgu ātrgaitas sabiedrisko transporta līniju 5,3 km garumā Rīgas pilsētas nozīmes koridorā Rīgas centrs – Dreiliņi un ar to saistītā velosipēdu ceļu infrastruktūra, kā arī izbūvēts tramvaja līnijas pagarinājums Rīgas pilsētā.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ka tramvaju līnijas pagarinājums paredzēts 3,5 km garumā kā norādīts AF plāna 257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īstenošanas teritorija ir Rīgas pilsēta un Pierīga.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"pilsēta" ar vārdu "valstspilsēta". Precizējumu lūdzam veikt visā noteikumu projektā,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Rīgas valstspilsētas pašvaldība nodrošinās sešu videi draudzīgo mobilitātes punktu Rīgas pilsētā izbūvi un  ar to izbūvi saistītā tramvaja līnijas pagarinājuma izbūvi Rīgas pilsētā, kā arī sabiedriskā transporta infrastruktūras, kas ietver neatkarīgu ātrgaitas sabiedrisko transporta līniju 5,3 km garumā Rīgas pilsētas nozīmes koridorā Rīgas centrs – Dreiliņi un ar to saistītā velosipēdu ceļu infrastruktūras izbūvi;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Ministru kabineta noteikumus un anotāciju, norādot plānoto tramvaja līnijas pagarinājuma vietu un izbūvējamā pagarinājuma garumu km.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iesniedzējam ir pienākums projekta iesniegumā pamatot sadarbības partnera izvēli, norādot sadarbības partnera nepieciešamību un to iesaisti atbalstāmo darbību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sakārot MK noteikumu projekta punktus loģiskā secībā.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Ministrija pēc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informācijas saņemšanas no projekta iesniedzēja organizē iesniegtās projekta informācijas pārbaudi atbilstoši AF reformas investīcijas mērķim un šajos noteikumos noteiktajam, ja nepieciešams, lūdz projekta iesniedzēju veikt papildinājumus un precizējumus iesniegtajā informācijā, nosakot termiņus precizējumu un papildinājumu iesniegšanai. Precizējumi tiek veikti, līdz projekta informācija atbilst visām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pirmā teikuma palīgteikumu ar vārdu “un” pirms vārdiem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Aģentūra pēc šo noteiumu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informācijas saņemšanas un pirms līguma par projekta īstenošanu noslēgšanu starp Aģentūru un finansējuma saņēmēju organizē iesniegtās projekta informācijas pārbaudi attiecībā uz šajos noteikumos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noteikto, ja nepieciešams, lūdzot finansējuma saņēmēju veikt papildinājumus un precizējumus iesniegtajā informācijā, nosakot termiņus precizējumu un papildinājumu iesniegšanai. Precizējumi tiek veikti līdz projekta informācija atbilst visām izvirzītajām prasībām. Pēc Ministrijas lēmuma pieņemšanas par projekta informācijas atbilstību visām izvirzītajām prasībām informē Aģentūru par atļauju uzsākt šo noteikumu </w:t>
            </w:r>
            <w:r w:rsidR="00000000" w:rsidRPr="00000000" w:rsidDel="00000000">
              <w:rPr>
                <w:rtl w:val="0"/>
              </w:rPr>
              <w:t xml:space="preserve">9.</w:t>
            </w:r>
            <w:r w:rsidR="00000000" w:rsidRPr="00000000" w:rsidDel="00000000">
              <w:rPr>
                <w:rtl w:val="0"/>
              </w:rPr>
              <w:t xml:space="preserve">punktā</w:t>
            </w:r>
            <w:r w:rsidR="00000000" w:rsidRPr="00000000" w:rsidDel="00000000">
              <w:rPr>
                <w:rtl w:val="0"/>
              </w:rPr>
              <w:t xml:space="preserve"> minētā vienošanās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drukas kļūdu vārdam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Aģentūra pēc šo noteiumu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informācijas saņemšanas un pirms līguma par projekta īstenošanu noslēgšanu starp Aģentūru un finansējuma saņēmēju organizē iesniegtās projekta informācijas pārbaudi attiecībā uz šajos noteikumos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noteikto, ja nepieciešams, lūdzot finansējuma saņēmēju veikt papildinājumus un precizējumus iesniegtajā informācijā, nosakot termiņus precizējumu un papildinājumu iesniegšanai. Precizējumi tiek veikti līdz projekta informācija atbilst visām izvirzītajām prasībām. Pēc Ministrijas lēmuma pieņemšanas par projekta informācijas atbilstību visām izvirzītajām prasībām informē Aģentūru par atļauju uzsākt šo noteikumu </w:t>
            </w:r>
            <w:r w:rsidR="00000000" w:rsidRPr="00000000" w:rsidDel="00000000">
              <w:rPr>
                <w:rtl w:val="0"/>
              </w:rPr>
              <w:t xml:space="preserve">9.</w:t>
            </w:r>
            <w:r w:rsidR="00000000" w:rsidRPr="00000000" w:rsidDel="00000000">
              <w:rPr>
                <w:rtl w:val="0"/>
              </w:rPr>
              <w:t xml:space="preserve">punktā</w:t>
            </w:r>
            <w:r w:rsidR="00000000" w:rsidRPr="00000000" w:rsidDel="00000000">
              <w:rPr>
                <w:rtl w:val="0"/>
              </w:rPr>
              <w:t xml:space="preserve"> minētā vienošanās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18.4. apakšpunkta pēdējo teikumu ar vārdu “Ministrija” aiz vārdiem “visām izvirzītajām prasībām”, kā arī lūdzam precizēt atsauci uz 10.pantu.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Ministrijas lēmuma pieņemšanas par projekta informācijas atbilstību visām izvirzītajām prasībām, Ministrija informē Aģentūru par atļauju uzsākt šo noteikumu 10.punktā minētās vienošanās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Investīcijas ietvaros pievienotās vērtības nodokļa (turpmāk – PVN) izmaksas nav attiecināmas no AF finansējuma, bet šādas izmaksas ir iekļaujamas AF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svītot "AF", ņemot vērā "projekts" lietojumu citur noteikumu projekta tekstā (bez 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Investīcijas ietvaros pievienotās vērtības nodokļa (turpmāk – PVN) izmaksas nav attiecināmas no AF finansējuma, bet šādas izmaksas ir iekļaujamas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Aģentūra pēc finansējuma saņēmēja maksājumu pieprasījumu saņemšanas pārbauda, vai tam pievienots apliecinājums, ka finansējuma saņēmējs nav atguvis pievienotās vērtības nodokli no valsts budžeta priekšnodokļa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apakšpunktā lietot noteikumu projekta 23.punktā atrunāto saīsinājumu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Aģentūra pēc finansējuma saņēmēja maksājumu pieprasījumu saņemšanas pārbauda, vai tam pievienots apliecinājums, ka finansējuma saņēmējs nav atguvis PVN no valsts budžeta priekšnodokļa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ietvaros radušās izmaksas var uzskatīt par attiecināmām finansēšanai no AF, ja tās vienošanās noslēgšanas brīdī nav pabeigtas,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ietvertajām izmaksu pozīcijām un nav radušās agrāk par 2020.gada 1.februāri.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ar nosacījumu, ka sadārdzinājuma gadījumā sadārdzinājums tiek segts no finansējuma saņēmēja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nodrošina, ka projekta dokumentācija ir pieejama piecus gadus pēc noslēguma maksājuma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27.7apakšpunktu ar vārdu "dalībvalstij" aiz vārda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anotācijā norādīt Rīgas valsts pilsētas pašvaldības projektos paredzētos sadarbības partnerus, kā arī norādīt, kādas darbības/kāda iesaiste ir paredzētas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skaitli un vārdu “276.punktu” ar skaitli un vārdu “276.rindkopa”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par CFLA deleģējumu, vispārīgi atsaucoties uz MK 2021. gada 7. septembra noteikumiem Nr.621 "Eiropas Savienības Atveseļošanas un noturības mehānisma plāna īstenošanas un uzraudzības kārtība", nedublējot minētos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ka tramvaja līnijas pagarinājuma izbūve plānota 3,5 km garumā saskaņā ar ANM plānā paredzēto (257.rindkopa).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(257) Investīciju projekta ietvaros tiks iegādāti 4 zemās grīdas tramvaji, 17 elektroautobusi un 7 elektroautobusu uzlādes stacijas (šis atsevišķos MKN) kā arī nodrošināta nepieciešamā infrastruktūra, t.i., tramvaju līnijas pagarinājums 3,5 km garumā, neatkarīga ātrgaitas sabiedriskā transporta līnija un veloceļš 5,3 km garumā. Multimodālas mobilitātes nodrošināšanai tiks veikti ieguldījumi viedos, digitālos un videi draudzīgos mobilitātes mezglos (6 reģionāla un 2 vietējas nozīmes mobilitātes punkti), kas ir multimodāla transporta mugurkauls.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noteikt papildu nosacījumus, lai nodrošinātu plānoto ieguldījumu atbilstību dzimumu līdztiesības un vienlīdzīgu iespēju principiem, vai anotācijā skaidrot, kāpēc tādi nav iekļauti.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protokollēmuma 4. un 5.punktā vārdus "priekšfinansējums"  ar vārdu "finansējums", ņemot vērā, ka atbilstoši  noteikumu projektam tiek paredzēti avansa un starpposma maksājumi, nevis valsts budžeta priekšfinansējums.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27.10.2022.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27.10.2022.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Atzinumi_22-TA-1939.docx</dc:title>
</cp:coreProperties>
</file>

<file path=docProps/custom.xml><?xml version="1.0" encoding="utf-8"?>
<Properties xmlns="http://schemas.openxmlformats.org/officeDocument/2006/custom-properties" xmlns:vt="http://schemas.openxmlformats.org/officeDocument/2006/docPropsVTypes"/>
</file>