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Latvijas Austrumu pierobežas ekonomiskajai izaugsmei un drošības stiprināšanai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Rīcības plāna sasaiste ar citiem attīstības plānošanas dokumentiem, attiecīgās nozares prioritātēm, tiesību aktiem, Eiropas Savienības tiesību aktiem un Eiropas Savienības politiku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 Kritēriji un kārtība, kādā tiks izvērtēti pašvaldību sākotnēji iesniegtie priekšlikumi mobilitātes un pakalpojumu infrastruktūras jomās divējādas lietojamības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Pasākumi, kuriem pašlaik nav piešķirts nepieciešamais valsts budžeta finansējums vai nav vienošanās starp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atbildīgajām institūcijām līdz 2028.gada 1.februārim iesniegt Viedās administrācijas un reģionālās attīstības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punktā vārdus “Ministrijām un citām atbildīgajām” ar vārdiem “Atbildīgajām ministrijām un citām”, tādējādi paredzot ka tikai atbildīgās ministrijas, nevis visas iesniegs informāciju par rīcības plānā ietverto pasākumu izpildi un priekšlikumus par jauniem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atbildīgajām institūcijām līdz 2028.gada 1.februārim iesniegt Viedās administrācijas un reģionālās attīstības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datumu, paredzot tajā atstarpes saskaņā ar Latviešu valodas aģentūras 2013. gada izdotajā instrukcijā "Interpunkcija" minēto, t.i. ka gadu un datumu pierakstos ir jālieto atstarpes. Pieejams: https://valoda.lv/wp-content/uploads/docs/BUJ/Interpunkcija_.pdf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1.7 punktā un 3.pielikuma 1.7 punktā svītrot atsauci uz Iekšlietu ministriju kā atbildīgo institūciju, jo nesaredzam iesaisti šī uzdevuma izpildē.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Upeniece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3. pielikuma 1.5. punktā svītrot atsauci uz VDD kā līdzatbildīgo institūciju, jo, atbilstoši 2021. gada 6. jūlija Ministru kabineta noteikumiem Nr. 508 “Kritiskās infrastruktūras, tajā skaitā Eiropas kritiskās infrastruktūras, apzināšanas, drošības pasākumu un darbības nepārtrauktības plānošanas un īstenošanas kārtība” 26.1. punktam, kritiskās infrastruktūras īpašnieks vai tiesiskais valdītājs sadarbībā ar nozares ministriju un Aizsardzības ministriju sagatavo darbības nepārtrauktības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Upeniece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3. nodaļas 1.10. apakšpunkta sadaļā  “Darbības rezultāts” (27. lp.) norādīts, ka tiek izbūvēti 7 jauni katastrofu pārraudzības centri Austrumu pierobežā (pavisam Austrumu pierobežā plānoti 11 katastrofu pārvaldības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Rīcības plāna īstenošanas periodā ir plānota visu 11 katastrofu pārvaldības centru būvniecība un Iekšlietu ministrija šobrīd gatavo informatīvo ziņojumu par nepieciešamo papildu finanšu līdzekļu piešķiršanu, ierosinām attiecīgi papildināt Rīcības plāna kopsavilkuma sadaļu “Drošība” (8. lp.) un 3. nodaļas 1. punktu “Rīcības virziens – drošības stiprināšana” (19. lp.), proti, ka šobrīd finansējums ir pieejams 7 katastrofu pārvaldības centru būvniecībai, bet Rīcības plāna īstenošanas periodā ir plānota 11 katastrofu pārvaldības centru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28. un 30 lp. tiek pieminēta tehnoloģiskās infrastruktūras izbūve uz valsts ārējās sauszemes robežas un norādīts finansējums (ES fondi) pasākumu kopuma īstenošanai, taču netiek plašāk paskaidrots darbības rezultāts un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tehnoloģiskās infrastruktūras (robežuzraudzības tehniskie līdzekļi — klātbūtnes uztveršanas sistēmas un novērošanas iekārtas un ar tām saistītā infrastruktūra) būtisko nozīmi ārējās sauszemes robežas apsardzības nodrošināšanai, kā arī apjomīgo finanšu līdzekļu ieguldījumu tās izbūvē, rosinām Rīcības plāna 3. nodaļas 2.3. apakšpunktu (30 lp.) papildināt ar detalizētāku informāciju par tehnoloģiskās infrastruktūras izbūves darbības rezultātu, rezultatīvo rādītāju un piešķirto finansējumu. Attiecībā uz tehnoloģiskās infrastruktūras izbūvei piešķirto finansējumu skatīt informatīvā ziņojuma “Par pastāvīgās infrastruktūras uz valsts ārējās sauszemes robežas izbūves progresu” pielikumu, tiesību akta lietas ID 24-TA-2932.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norāde par tehnoloģiskās infrastruktūras izbūvi būtu iekļaujama arī Rīcības plāna Kopsavilkuma sadaļā “Drošība” (8. lp.) un 3. nodaļas 1. punktā “Rīcības virziens – drošības stiprināšana” (19.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ārējās sauszemes robežas apsardzībai nepieciešamās infrastruktūras izbūve uz Latvijas Republikas – Baltkrievijas Republikas un  Latvijas Republikas – Krievijas Federācijas ārējās sauszemes robežas ir būtisks faktors pierobežas drošības stiprināšanā, rosinām  Rīcības plānu Latvijas Austrumu pierobežas ekonomiskajai izaugsmei un drošības stiprināšanai 2025.–2027. gadam (turpmāk – Rīcības plāns) papildināt ar atsauci par ārējās sauszemes robežas apsardzības infrastruktūras izbūvi, jo infrastruktūras izbūves darbi turpināsies arī Rīcības plānā noteiktajā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ārējās sauszemes robežas apsardzībai nepieciešamās infrastruktūras izbūves uz Latvijas Republikas un Baltkrievijas Republikas valsts ārējās sauszemes robežas 1. un 2. būvdarbu kārtā paredzēta infrastruktūras izbūves pabeigšana (tajā skaitā laipu izbūve purvainās zonās), defektu novēršana (tajā skaitā trešo valstu valstspiederīgo, kas nelikumīgi mēģina šķērsot valsts ārējo sauszemes robežu, radītie bojājumi, dzīvnieku un krītošo koku radītie bojājumi) un infrastruktūras nodošana pasūtītājam, 3. būvdarbu kārtā paredzēts pabeigt sakaru torņu un pievedceļu pie tiem būvniecību un patrulēšanas takas izbūvi posmā gar Daugavu, 4. būvdarbu kārtā paredzēts nodrošināt rokādes ceļu (tajā skaitā caurteku un laivu (kuteru) nolaišanas vietu) izbūvi pie Riču ezera, kuru paredzēts pabeigt 6,5 mēnešu laikā no brīža, kad ir nodrošināta atsavināšanas un atmežošanas darbu pabeigšana infrastruktūras izbūvei nepieciešamajā teritorijā. Vienlaikus turpināsies valsts ārējās sauszemes robežas apsardzībai nepieciešamās infrastruktūras izbūve uz Latvijas Republikas un Krievijas Federācijas valsts ārējās sauszemes robežas – 2025. gadā tiks turpināta žoga izbūve purvainajās teritorijās ar ~28,35 km kopgarumu un paredzēta jau iepriekš izbūvētās infrastruktūras nodošana ekspluatācijā un pasūtītājam. Ministru kabinets iepriekš ir atbalstījis minētos infrastruktūras izbūves pasākumus un to veikšanai nepieciešamais finansējums ir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veicamajiem pasākumiem un piešķirto finansējumu skatīt informatīvo ziņojumu “Par pastāvīgās infrastruktūras uz valsts ārējās sauszemes robežas izbūves progresu”, tiesību akta lietas ID 24-TA-2932.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3. pielikuma 1.1. pirmās kolonnas pēdējo rindkopu:  "Civilās aizsardzības jomas jautājumu komunikācijas nodrošināšana ar citām pašvaldībām un valsts institūcijām". Lai saprastu teikuma jēgu, nepieciešams precizēt, par kādu komunikāciju vai komunikācijas nodrošināšanu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Zariņš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plānu ar atsauci uz Latvijas Austrumu pierobežā uzsāktu pasākumu - Patvēruma meklētāju izmitināšanas centra “Liepna” Alūksnes novada Liepnā pielāgošanu ilgtermiņa ekspluatācijai, veicot energoefektivitātes paaugstināšanas un ēku pārbūves pasākumus. Pasākumu īsteno Nodrošinājuma valsts aģentūra sadarbībā ar Pilsonības un migrācijas lietu pārvaldi Patvēruma, migrācijas un integrācijas fonda 2021. – 2027.gada projekta Nr. NVA/PMIF/2024/1 “PMIC “Liepna” pielāgošana ilgtermiņa ekspluatācijai” ietvaros no 2024. gada 1. maija līdz 2027. gada 31. oktobrim ar kopējo finansējumu 4 266 667 euro, ko 2023. gadā papildus Eiropas Komisija piešķīra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rīcības plānu ar informāciju, ka, lai nodrošinātu centra “Liepna” uzturēšanu, Nodrošinājuma valsts aģentūrai piešķirts finansējums 2026. gadā un turpmāk ik gadu 183 863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papildina un tiek īstenots pēc Eiropas Savienības Patvēruma, migrācijas un integrācijas fonda Ārkārtas palīdzības papildu finansējuma piešķiršanas 2022. gadā jauna, sākotnēji pagaidu patvēruma meklētāju izmitināšanas centra izveidei Liepnā, reaģējot uz pieaugošajām neregulārās migrācijas plūsmām Austrumu pierobežā. Patvēruma meklētāju izmitināšanas centra “Liepna” ir otrais patvēruma meklētāju izmitināšanas centrs Latvijā, turklāt tieši Latvijas Austrumu pierobežā, nodrošinot gan patvēruma meklētāju izmitināšanu, gan ekonomisko aktivitāti un darbavietas pierobežā.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Stramkalis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3. sadaļas punktu numerāciju. Šobrīd plāna 3. sadaļā ir divi 2. punkti, plāna 3. sadaļas pirmā 2. "Rīcības virziens – ekonomiskā attīstība" punkta apakšpunkti ir numurēti kā 3. sadaļas 1. punkta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Stramkalis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20.lp noformējumu, t.i. paredzot tabulas un tās aiļu nosakumus vienā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plānā lietoto Saīsinājumu sarakstu, tajā iekļaujot visus saīsinājumus un tālāk plāna tekstā tos neatrunāt.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12. un 13. lapas noformējumu, jo tabula aisedz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plānā esošo tabulu un attēlu numerāciju (11. un 17.lp), kā arī to nosakumus.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datumu rakstību, paredzot tajā atstarpes saskaņā ar Latviešu valodas aģentūras 2013. gada izdotajā instrukcijā "Interpunkcija" minēto, t.i. ka gadu un datumu pierakstos ir jālieto atstarpes. Pieejams: https://valoda.lv/wp-content/uploads/docs/BUJ/Interpunkcija_.pdf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plānā ietverto skaitļu rakstību (8.,9., 29. lp) atbilstoši Normatīvo aktu projektu izstrādes rokasgrāmatā minētajam ,ka norādot skaitu, skaitļus no "1" līdz"9" parasti raksta ar vārdiem, bet no "10"– ar cipariem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punktā kā līdzatbildīgo institūciju norādīt IeM, jo par RKP režīmu atbild VRS. Attiecīgi pārbūvē jāņem vērā VRS ieteikumi/prasības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Geralds Indriķis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25.11.2024.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25.11.2024.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Atzinumi_24-TA-2735.docx</dc:title>
</cp:coreProperties>
</file>

<file path=docProps/custom.xml><?xml version="1.0" encoding="utf-8"?>
<Properties xmlns="http://schemas.openxmlformats.org/officeDocument/2006/custom-properties" xmlns:vt="http://schemas.openxmlformats.org/officeDocument/2006/docPropsVTypes"/>
</file>