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23-TA-760: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4.3.4. specifiskā atbalsta mērķa "Sekmēt aktīvu iekļaušanu, lai veicinātu vienlīdzīgas iespējas, nediskriminēšanu un aktīvu līdzdalību, kā arī uzlabotu nodarbināmību, jo īpaši attiecībā uz nelabvēlīgā situācijā esošām grupām" 4.3.4.5. pasākuma "Atbalsts pilsoniskās sabiedrības organizāciju izaugsmei, stiprinot līdzdalību publiskās pārvaldes lēmumu pieņemšanas procesos"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(Sabiedrības iebildumi un priekšlikumi)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partnerim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atbalstāmo darbību īstenošanai tiks piešķirts publiskais finansējums, kas nepārsniedz 40 procentus no šo noteikumu </w:t>
            </w:r>
            <w:r w:rsidR="00000000" w:rsidRPr="00000000" w:rsidDel="00000000">
              <w:rPr>
                <w:rtl w:val="0"/>
              </w:rPr>
              <w:t xml:space="preserve">6. </w:t>
            </w:r>
            <w:r w:rsidR="00000000" w:rsidRPr="00000000" w:rsidDel="00000000">
              <w:rPr>
                <w:rtl w:val="0"/>
              </w:rPr>
              <w:t xml:space="preserve">punktā</w:t>
            </w:r>
            <w:r w:rsidR="00000000" w:rsidRPr="00000000" w:rsidDel="00000000">
              <w:rPr>
                <w:rtl w:val="0"/>
              </w:rPr>
              <w:t xml:space="preserve"> plānotā kopējā finansējuma kopā ar elastības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ka sadarbības partneris tam deleģēto atbildības jomu un darbību īstenošanai saņem publisko finansējumu, kas nepārsniedz 40 procentus no noteikumu projekta 6. punktā plānotā kopējā finansējuma ar elastības finansējumu. Mūsu ieskatā, tas ir nesamērīgi zems procents pilsoniskā dialoga kvalitatīvai ieviešanai praksē, ņemot vērā, ka pamatizmaksas veido konsultantu, ekspertu un speciālistu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partnerim šo noteikumu 12. punktā minēto atbalstāmo darbību īstenošanai tiks piešķirts publiskais finansējums, kas nepārsniedz </w:t>
            </w:r>
            <w:r w:rsidR="00000000" w:rsidRPr="00000000" w:rsidDel="00000000">
              <w:rPr>
                <w:b w:val="1"/>
                <w:rtl w:val="0"/>
              </w:rPr>
              <w:t xml:space="preserve">80 </w:t>
            </w:r>
            <w:r w:rsidR="00000000" w:rsidRPr="00000000" w:rsidDel="00000000">
              <w:rPr>
                <w:rtl w:val="0"/>
              </w:rPr>
              <w:t xml:space="preserve">procentus no šo noteikumu 6. punktā plānotā kopējā finansējuma kopā 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 tiešās attiecināmās personāla izmaksas – finansējuma saņēmēja projekta vadības un īstenošanas personāla, kā arī sadarbības partnera projekta īstenošanas personāla atlīdzības izmaksas (izņemot virsstundas) šo noteikumu </w:t>
            </w:r>
            <w:r w:rsidR="00000000" w:rsidRPr="00000000" w:rsidDel="00000000">
              <w:rPr>
                <w:rtl w:val="0"/>
              </w:rPr>
              <w:t xml:space="preserve">17.8. </w:t>
            </w:r>
            <w:r w:rsidR="00000000" w:rsidRPr="00000000" w:rsidDel="00000000">
              <w:rPr>
                <w:rtl w:val="0"/>
              </w:rPr>
              <w:t xml:space="preserve">apakšpunktā</w:t>
            </w:r>
            <w:r w:rsidR="00000000" w:rsidRPr="00000000" w:rsidDel="00000000">
              <w:rPr>
                <w:rtl w:val="0"/>
              </w:rPr>
              <w:t xml:space="preserve"> minēto atbalstāmo darbību īstenošanai. Izmaksas ir attiecināmas atbilstoši atbildīgās iestādes apstiprinātajai vienkāršoto izmaksu metodikai, kas saskaņota ar Finanšu ministriju (turpmāk – vadošā iestāde). Līdz metodikas apstiprināšanai tiek piemērota personāla izmaksu vienotā likme 20 procentu apmērā no attiecināmajām izmaksām, kas noteiktas šo noteikumu </w:t>
            </w:r>
            <w:r w:rsidR="00000000" w:rsidRPr="00000000" w:rsidDel="00000000">
              <w:rPr>
                <w:rtl w:val="0"/>
              </w:rPr>
              <w:t xml:space="preserve">19.2. </w:t>
            </w:r>
            <w:r w:rsidR="00000000" w:rsidRPr="00000000" w:rsidDel="00000000">
              <w:rPr>
                <w:rtl w:val="0"/>
              </w:rPr>
              <w:t xml:space="preserve">apakšpunktā</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aicina neierobežot īstenošanas personāla atlīdzības izmaksas 20% apmērā, kā arī neattiecināt virsstundas, ja tādas rodas.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personāla izmaksas – finansējuma saņēmēja projekta vadības un īstenošanas personāla, kā arī sadarbības partnera projekta īstenošanas personāla atlīdzības izmaksas šo noteikumu 17.8. apakšpunktā minēto atbalstāmo darbību īstenošanai. Projekta īstenošanas personāla atlīdzības aprēķinu sadarbības partnerim veic saskaņā ar Valsts un pašvaldību institūciju amatpersonu un darbinieku atlīdzības likumā noteiktajām mēnešalgu grupām un intervāliem."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 datu uzkrāšanu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rezultāta rādītāja – 50 pilsoniskās sabiedrības organizācijas 6 mēnešu laikā pēc iesaistes projekta darbībās sniegušas atzinumus par rīcībpolitikas plānošanas dokumentiem un normatīvajiem aktiem –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Šādu datu uzkrāšana ir iespējama Valsts kancelejai, kas ir TAP portāla uzturētājs. Vienlaikus aicinām sniegt informāciju, kāds bāzes skaits pilsoniskās sabiedrības organizācijām, kas 2023.gadā ir siegušas atzinumus par rīcībpolitikas plānošanas dokumentiem un normatīvajiem aktiem, lai varētu izvērtēt rezultatīvā rādītāja atbilstību.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ka sadarbības partneris tam deleģēto atbildības jomu un darbību īstenošanai saņem publisko finansējumu, kas nepārsniedz 40 procentus no noteikumu projekta 6. punktā plānotā kopējā finansējuma ar elastības finansējumu. Mūsu ieskatā, tas ir nesamērīgi zems procents pilsoniskā dialoga kvalitatīvai ieviešanai praksē, ņemot vērā, ka pamatizmakasas veido konsultantu, ekspertu un speciālistu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partneris tam deleģēto atbildības jomu un darbību īstenošanai saņem publisko finansējumu, kas nepārsniedz </w:t>
            </w:r>
            <w:r w:rsidR="00000000" w:rsidRPr="00000000" w:rsidDel="00000000">
              <w:rPr>
                <w:b w:val="1"/>
                <w:rtl w:val="0"/>
              </w:rPr>
              <w:t xml:space="preserve">80</w:t>
            </w:r>
            <w:r w:rsidR="00000000" w:rsidRPr="00000000" w:rsidDel="00000000">
              <w:rPr>
                <w:rtl w:val="0"/>
              </w:rPr>
              <w:t xml:space="preserve"> procentus no noteikumu projekta 6. punktā plānotā kopējā finansējuma ar elastības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Pilsoniskā alianse iebilst pret sekojošiem ierobežojumiem, kas noteikti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Administratīvā sloga mazināšanai finansējuma saņēmēja un sadarbības partnera projekta vadības un īstenošanas personāla izmaksu nodrošināšanai tiks piemērota vienkāršoto izmaksu metodika, kuru apstiprinās atbildīgā iestāde pēc Finanšu ministrijas saskaņojuma. Metodika tiks izstrādāta, pamatojoties uz Valsts un pašvaldību institūciju amatpersonu un darbinieku atlīdzības likumā noteiktajām mēnešalgu grupām un intervāliem, vienotu pieeju nodrošinot arī projekta īstenošanas personāla atlīdzības aprēķinā sadarbības partnerim. Metodika tiks piemērota ar atbildīgās iestādes metodikas apstiprināšanas brīdi, bet līdz metodikas apstiprināšanai tiks piemērota personāla izmaksu vienotā likme </w:t>
            </w:r>
            <w:r w:rsidR="00000000" w:rsidRPr="00000000" w:rsidDel="00000000">
              <w:rPr>
                <w:b w:val="1"/>
                <w:rtl w:val="0"/>
              </w:rPr>
              <w:t xml:space="preserve">20 procentu apmērā no projekta pārējām tiešajām attiecināmajām īstenošanas izmaksām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4.3.4.5. pasākuma kapacitātes stiprināšanas</w:t>
            </w:r>
            <w:r w:rsidR="00000000" w:rsidRPr="00000000" w:rsidDel="00000000">
              <w:rPr>
                <w:b w:val="1"/>
                <w:rtl w:val="0"/>
              </w:rPr>
              <w:t xml:space="preserve"> pasākumos netiks iesaistītas tās organizācijas, kas būs noslēgušas līgumu ar Sabiedrības integrācijas fondu par projekta īstenošanu Atveseļošanas fonda 6.3.1.4.i. investīcijas ietvaros</w:t>
            </w:r>
            <w:r w:rsidR="00000000" w:rsidRPr="00000000" w:rsidDel="00000000">
              <w:rPr>
                <w:rtl w:val="0"/>
              </w:rPr>
              <w:t xml:space="preserve">, kā arī viņu sadarbības partneri.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Dubultā finansējuma riska novēršana un demarkācijas nodrošināšana jau ir noregulēta MK noteikumu 26.5.punktā: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atbildīgs par dubultā finansējuma riska novēršanu un demarkācijas nodrošināšanu ar citiem līdzīgiem vai saistītiem projektiem un nodrošina, lai pasākuma ietvaros plānotais atbalsts nepārklātos ar citiem valsts un ārvalstu finanšu atbalsta instrumentiem."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Latvijas Pilsoniskā alianse aicina neierobežot īstenošanas personāla atlīdzības izmaksas 20% apmērā, līdz netiks pieņemta metodika un izteikt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personāla atlīdzības aprēķinu sadarbības partnerim veic saskaņā ar Valsts un pašvaldību institūciju amatpersonu un darbinieku atlīdzības likumā noteiktajām mēnešalgu grupām un intervāliem.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abu fondu pasākumiem ir atšķirīgs uzsākšanas laiks un mērķi, </w:t>
            </w:r>
            <w:r w:rsidR="00000000" w:rsidRPr="00000000" w:rsidDel="00000000">
              <w:rPr>
                <w:b w:val="1"/>
                <w:rtl w:val="0"/>
              </w:rPr>
              <w:t xml:space="preserve">svītrot tekstu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4.3.4.5. pasākuma kapacitātes stiprināšanas pasākumos netiks iesaistītas tās organizācijas, kas būs noslēgušas līgumu ar Sabiedrības integrācijas fondu par projekta īstenošanu Atveseļošanas fonda 6.3.1.4.i. investīcijas ietvaros, kā arī viņu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 (LPA)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16.05.2023. 16.39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23-TA-760</w:t>
    </w:r>
    <w:r>
      <w:br/>
    </w:r>
    <w:r w:rsidR="00000000" w:rsidRPr="00000000" w:rsidDel="00000000">
      <w:rPr>
        <w:rtl w:val="0"/>
      </w:rPr>
      <w:t xml:space="preserve">Izdrukāts 16.05.2023. 16.39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Atzinumi_23-TA-760.docx</dc:title>
</cp:coreProperties>
</file>

<file path=docProps/custom.xml><?xml version="1.0" encoding="utf-8"?>
<Properties xmlns="http://schemas.openxmlformats.org/officeDocument/2006/custom-properties" xmlns:vt="http://schemas.openxmlformats.org/officeDocument/2006/docPropsVTypes"/>
</file>