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22-TA-1288: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291.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291.pants.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sabiedrības pārraudzības institūcija, kas pārstāv sabiedrības intereses un šajā likumā un statūtos noteiktajos ietvaros uzrauga valdes darbību un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iebilst likumprojekta 12.panta grozījumiem, kas paredz izteikt jaunā redakcijā likuma 291.pantu, jo sabiedrība un tās institūcijas – padome un valde – darbojas akcionāru interesēs. Sabiedrībai nevar būt savu no akcionāriem atšķirīgu interešu.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 (LZRA)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341. pants. Revidenta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līguma vai līguma projekta pārbaudes rezultātiem revidents sagatavo rakstveida atzinumu un iesniedz to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Atzinumā izskaidro to, vai revidenta ieskatā sabiedrības noteiktais atlīdzības apmērs dalībniekiem, kapitāla daļu (akciju) apmaiņas koeficients un piemaksu lielums ir uzskatāms par atbilstošu atlīdzību. Lai to izvērtētu, revidents atzinumā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 vai metodes, kas izmantotas atlīdzības apmēra dalībniekiem, kapitāla daļu (akciju) apmaiņas koeficienta un piemaksu lieluma noteikšanai, un to, vai attiecīgās metodes ir atbilstošas;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izmantojusi vairākas metodes – koeficientu, piemaksu lielumu un atlīdzības apmēru, kas iegūts, izmantojot katru no metodēm, un to relatīvo nozīmi, nosakot šīs daļas 1. punktā minētās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reorganizācijā iesaistītās sabiedrības ir izmantojušas dažādas novērtēšanas metodes un to, vai dažādu metožu izmantošana bija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novērtēšanas grūtības, kas revidentam radušās, gatavojot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revidentam ir iesniegti visi nepieciešamie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likumprojekta Anotācijas, revidents, sniedzot ziņojumu, ievēro Starptautisko revīzijas un apliecinājumu standartu padomes izdoto "3000. Starptautisko apliecinājuma uzdevumu standartu (SAUS) "Apliecinājuma uzdevumi, kas nav vēsturiskas finanšu informācijas revīzijas vai pārbaudes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aicina likumprojekta 19.panta, kas paredz jaunā redakcijā izteikt Komerclikuma C daļu, 341. un 342.pantā izmantot starptautiskajā standartā lietoto terminoloģiju un aizstāt vārdus “revidenta atzinums” ar vārdiem “revidenta apliecinājuma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 (LZRA)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342. pants. Reorganizācijas dokumentu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nodrošina dalībniekiem nepārtrauktu elektronisku bezmaksas pieeju (tajā skaitā, iespēju saglabāt un izdrukāt)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vai līguma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 reorganizācijā iesaistīto sabiedrību gada pārskati par pēdējiem trim pārskata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saimnieciskās darbības pārskats, kas sagatavots ne agrāk kā trīs mēnešus līdz pieteikuma par reorganizācijas uzsākšanu iesniegšanai komercreģistra iestādei, ja iepriekšējais gada pārskats sagatavots vairāk nekā sešus mēnešus pirms pieteikuma iesniegšanas.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 šā panta pirmajā daļā minētos dokumentus dara pieejamus akcionāriem ne mazāk kā mēnesi, bet sabiedrība ar ierobežotu atbildību un personālsabiedrība – ne mazāk kā divas nedēļas līdz dienai, kad paredzēts pieņemt lēmumu par reorganizāciju, un ne mazāk kā vienu gadu pēc attiecīgā lēmuma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5. punktā minētais sabiedrības saimnieciskās darbības pārskats sagatavojams saskaņā ar likuma prasībām par gada pārskata 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saimnieciskās darbības pārskats nav jāsagatavo, ja tam piekrīt visi dalībnieki vai ja sabiedrība saskaņā ar Finanšu instrumentu tirgus likuma noteikumiem ir publicējusi starpperioda pārskatu par sešu mēnešu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sabiedrība tehnisku vai citu iemeslu dēļ nevar nodrošināt dalībniekiem nepārtrauktu elektronisku pieeju dokumentiem pirms lēmuma par reorganizāciju pieņemšanas vai ja dalībnieks pamatotu iemeslu dēļ nevar piekļūt elektroniski pieejamajiem dokumentiem, sabiedrība pēc dalībnieka lūguma dokumentus bez maksas nosūta dalībniekam vai nodrošina citu bezmaksas pieeju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sabiedrība tehnisku vai citu iemeslu dēļ nevar nodrošināt dalībniekiem nepārtrauktu elektronisku pieeju dokumentiem šā panta otrajā daļā noteiktajā laikposmā pēc lēmuma par reorganizāciju pieņemšanas, dalībniekiem ir tiesības iepazīties ar minētajiem dokumentiem sabiedrības juridiskajā adresē.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likumprojekta Anotācijas, revidents, sniedzot ziņojumu, ievēro Starptautisko revīzijas un apliecinājumu standartu padomes izdoto "3000. Starptautisko apliecinājuma uzdevumu standartu (SAUS) "Apliecinājuma uzdevumi, kas nav vēsturiskas finanšu informācijas revīzijas vai pārbaudes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aicina likumprojekta 19.panta, kas paredz jaunā redakcijā izteikt Komerclikuma C daļu, 341. un 342.pantā izmantot starptautiskajā standartā lietoto terminoloģiju un aizstāt vārdus “revidenta atzinums” ar vārdiem “revidenta apliecinājuma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 (LZRA)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30.11.2022.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30.11.2022.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Atzinumi_22-TA-1288.docx</dc:title>
</cp:coreProperties>
</file>

<file path=docProps/custom.xml><?xml version="1.0" encoding="utf-8"?>
<Properties xmlns="http://schemas.openxmlformats.org/officeDocument/2006/custom-properties" xmlns:vt="http://schemas.openxmlformats.org/officeDocument/2006/docPropsVTypes"/>
</file>