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MKN projektā 3.4.apakšpunktā teikts: "ekonomikas ministrija slēdz līgumus ar piegādātājiem par pirmās nepieciešamības preču piegādi, transportēšanu uz uzglabāšanas vietu un uzglabāšanu, ievērojot Publisko iepirkumu likumā noteikto regulējumu iepirkuma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9.pktā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par pirmās nepieciešamības preču uzglabāšanas </w:t>
            </w:r>
            <w:r w:rsidR="00000000" w:rsidRPr="00000000" w:rsidDel="00000000">
              <w:rPr>
                <w:b w:val="1"/>
                <w:rtl w:val="0"/>
              </w:rPr>
              <w:t xml:space="preserve">vietas nomu tiks iepirkts</w:t>
            </w:r>
            <w:r w:rsidR="00000000" w:rsidRPr="00000000" w:rsidDel="00000000">
              <w:rPr>
                <w:rtl w:val="0"/>
              </w:rPr>
              <w:t xml:space="preserve"> ne ilgāk kā par pieciem gadiem. Turpmākajos gados plānots izveidot risinājumu, lai pirmās nepieciešamības preces varētu tiktu uzglabātas valsts rīcībā esošās uzglabāšanas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projekta tiesību normā līguma priekšmets ir noteikts plašāks nekā minēts anotācijas attiecīgajā punktā, tātad saturiski tie ir dažādi līgumi. Lūdzam precizēt anotāciju, lai salāgotu to ar MKN projektā minēto līguma priekšmetu, vai papildināt anotāciju ar plašāku aprakstu. Tāpat vēršam uzmanību, ka atbilstoši Publisko iepirkumu likuma 3.p. 1.d.1.p. uz nekustamā īpašuma nomu nav attiecināms PIL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Finanšu ministrijas izteikto priekšlikumu, proti, par lūgumu papildināt anotāciju ar informāciju par Mobilizācijas likuma un attiecīgi arī Ministru kabineta noteikumu projekta normu kā speciālā regulējuma attiecībā pret Publiskas personas mantas atsavināšanas likumu piemērošanu attiecībā uz pirmās nepieciešamības preču, proti, valsts kustamās mantas, atsavināšanu (izsniegšanu) iedzīvotājiem valsts apdraudējuma gadījumā, Ekonomikas ministrija izziņā norāda, ka </w:t>
            </w:r>
            <w:r w:rsidR="00000000" w:rsidRPr="00000000" w:rsidDel="00000000">
              <w:rPr>
                <w:i w:val="1"/>
                <w:rtl w:val="0"/>
              </w:rPr>
              <w:t xml:space="preserve">piekrīt Finanšu ministrijai, ka attiecībā uz pirmās nepieciešamības preču izsniegšanu atsevišķas Mobilizācijas likuma un Noteikumu projekta normas var veidot tiesību normu kolīziju attiecībā uz atsevišķām Publiskas personas mantas atsavināšanas likuma  normām, tomēr Ekonomikas ministrija </w:t>
            </w:r>
            <w:r w:rsidR="00000000" w:rsidRPr="00000000" w:rsidDel="00000000">
              <w:rPr>
                <w:i w:val="1"/>
                <w:u w:val="single"/>
                <w:rtl w:val="0"/>
              </w:rPr>
              <w:t xml:space="preserve">konkrētajā gadījumā nav ietvērusi anotācijā norādi par speciālo regulējumu galvenokārt dēļ papildus apsvēruma, ka ne visas Mobilizācijas likuma un Noteikumu projekta normas būs speciālas tiesību normas attiecībā pret Publiskas personas mantas atsavināšanas likuma normām.</w:t>
            </w:r>
            <w:r w:rsidR="00000000" w:rsidRPr="00000000" w:rsidDel="00000000">
              <w:rPr>
                <w:i w:val="1"/>
                <w:rtl w:val="0"/>
              </w:rPr>
              <w:t xml:space="preserve"> </w:t>
            </w:r>
            <w:r w:rsidR="00000000" w:rsidRPr="00000000" w:rsidDel="00000000">
              <w:rPr>
                <w:rtl w:val="0"/>
              </w:rPr>
              <w:t xml:space="preserve">Tādējādi, lai novērstu eventuālus pārpratumus Noteikumu projekta piemērošanā, Ekonomikas ministrija attiecīgu atsauci anotācijā nav izveidojusi.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Ekonomikas ministrijas sniegto skaidrojumu</w:t>
            </w:r>
            <w:r w:rsidR="00000000" w:rsidRPr="00000000" w:rsidDel="00000000">
              <w:rPr>
                <w:rtl w:val="0"/>
              </w:rPr>
              <w:t xml:space="preserve">, </w:t>
            </w:r>
            <w:r w:rsidR="00000000" w:rsidRPr="00000000" w:rsidDel="00000000">
              <w:rPr>
                <w:u w:val="single"/>
                <w:rtl w:val="0"/>
              </w:rPr>
              <w:t xml:space="preserve">lūdzam skaidrot, kuras Mobilizācijas likuma un Noteikumu projekta normas nav speciālās tiesību normas attiecībā pret Publiskas personas mantas atsavināšanas likuma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prioritārajam pasākumam</w:t>
            </w:r>
            <w:r w:rsidR="00000000" w:rsidRPr="00000000" w:rsidDel="00000000">
              <w:rPr>
                <w:i w:val="1"/>
                <w:rtl w:val="0"/>
              </w:rPr>
              <w:t xml:space="preserve"> Iedzīvotāju nodrošināšana ar pirmās nepieciešamības rūpniecības precēm valsts apdraudējumu gadījumā </w:t>
            </w:r>
            <w:r w:rsidR="00000000" w:rsidRPr="00000000" w:rsidDel="00000000">
              <w:rPr>
                <w:rtl w:val="0"/>
              </w:rPr>
              <w:t xml:space="preserve">kopējo piešķirto ārpus fiskālās telpas finansējumu 31 114 900 </w:t>
            </w:r>
            <w:r w:rsidR="00000000" w:rsidRPr="00000000" w:rsidDel="00000000">
              <w:rPr>
                <w:i w:val="1"/>
                <w:rtl w:val="0"/>
              </w:rPr>
              <w:t xml:space="preserve">euro</w:t>
            </w:r>
            <w:r w:rsidR="00000000" w:rsidRPr="00000000" w:rsidDel="00000000">
              <w:rPr>
                <w:rtl w:val="0"/>
              </w:rPr>
              <w:t xml:space="preserve"> apmērā, aicinām precizēt sadaļā Cita informācija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finansējums 6 222 980  euro apmērā netiks pieprasīts, jo līgumu slēgšana ar piegādātājiem par pirmās nepieciešamības preču piegādi, transportēšanu uz uzglabāšanas vietu un uzglabāšanu tiks uzsākta sākot ar 2024. gadu. Ekonomikas ministrija normatīvajos aktos noteiktajā kārtībā pieprasīs pārdalīt uz tās budžetu 2024. un 2025.gadā nepieciešamo finansējumu ne vairāk kā 31 114 900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31 114 900 euro apmērā plānots kā vispārējās valdības budžeta izdevumi 2024.– 2025.gadā, kas kā vienreizējie izdevumi iedzīvotāju nodrošināšanai ar pirmās nepieciešamības precēm valsts apdraudējuma gadījumā saskaņā ar likuma “Par valsts budžetu 2023. gadam un budžeta ietvaru 2023., 2024. un 2025. gada” 5.panta 3.punktu tiek izslēgti no vispārējās valdības budžeta strukturālās bilances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izdevumi iedzīvotāju nodrošināšanai ar pirmās nepieciešamības precēm valsts apdraudējuma gadījumā 2024. – 2025.gados ir uzskatāmi par vienreizējo pasākumu likuma “Par valsts budžetu 2023. gadam un budžeta ietvaru 2023., 2024. un 2025. gadam” 5.panta 3.punkta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31 114 900 </w:t>
            </w:r>
            <w:r w:rsidR="00000000" w:rsidRPr="00000000" w:rsidDel="00000000">
              <w:rPr>
                <w:i w:val="1"/>
                <w:rtl w:val="0"/>
              </w:rPr>
              <w:t xml:space="preserve">euro</w:t>
            </w:r>
            <w:r w:rsidR="00000000" w:rsidRPr="00000000" w:rsidDel="00000000">
              <w:rPr>
                <w:rtl w:val="0"/>
              </w:rPr>
              <w:t xml:space="preserve"> iedzīvotāju nodrošināšanai ar pirmās nepieciešamības precēm valsts apdraudējuma gadījumā 2024. – 2025.gados ir uzskatāmi par vienreizējo pasākumu likuma “Par valsts budžetu 2023. gadam un budžeta ietvaru 2023., 2024. un 2025. gadam” 5.panta 3.punkta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15.11.2023.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15.11.2023.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