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Vardarbības pret sievieti un vardarbības ģimenē novēršanas un apkarošanas plāns 2024.-2029. gadam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plāna pasākumu tabulā norādīt izpildes termiņus ar precizitāti līdz pusgadam, kā to paredz MK "Attīstības plānošanas dokumentu izstrādes un ietekmes izvērtēšanas noteikumi" Nr.737.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vērš uzmanību, ka ar 2028.gadu sāksies jauns attīstības plānošanas cikls, tāpat sāksies arī jauni budžeta un ES fondu plānošanas cikli. Atbilstoši Attīstības plānošanas sistēmas likuma 8.pantā noteiktajam attīstības plānošanas dokumentiem attīstību plāno ilgtermiņā (līdz 25 gadiem), vidējā termiņā (līdz septiņiem gadiem) un īstermiņā (līdz trim gadiem). Ievērojot minēto, lūdzam turpmāk pasākumus plānot nepārsniedzot 2027.gada beigas, atbilstoši pakārtojot plāna projekta pielikumus un MK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05.12.2024. 17.57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05.12.2024. 17.57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Atzinumi_24-TA-1560.docx</dc:title>
</cp:coreProperties>
</file>

<file path=docProps/custom.xml><?xml version="1.0" encoding="utf-8"?>
<Properties xmlns="http://schemas.openxmlformats.org/officeDocument/2006/custom-properties" xmlns:vt="http://schemas.openxmlformats.org/officeDocument/2006/docPropsVTypes"/>
</file>