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Dzīvokļu īpašnieku pilnvarotā persona nodrošina, ka projekta īstenošanas laikā tiek ievēroti sekojoši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DNSH principu piemērošanu, Klimata un enerģētikas ministrija aicina definēt precīzus kritērijus šo principu piemērošanai, izvairoties no interpretācijas iespējām un iespējas, ka DNSH principu neprecīza piemērošana var radīt iespēju, ka projekta pieteicējam tiek atteikts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30.3.1. pasākums daudzdzīvokļu māju ēku energoefektivitātē nav paredzētas ēkās, kuras atrodas NATURA 2000 teritorijā, izņemot gadījumus, kuros saskaņā ar normatīvajiem aktiem ir pieļaujama šādu darbību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uzskata, ka nav pamatoti izslēgt tās daudzdzīvokļu mājas no atbalsta ēku energoefektivitātes, kas atrodas NATURA 2000 teritorijās. Vēršam uzmanību, ka Latvijā NATURA 2000 ir iekļautas 333 teritorijas – 4 dabas rezervāti, 4 nacionālie parki, 239 dabas liegumi, 37 dabas parki, 9 aizsargājamo ainavu apvidi, 7 aizsargājamās jūras teritorijas, 9 dabas pieminekļi un 24 mikroliegumi. Līdz ar to pastāv iespēja, ka daļa no pašvaldībām un tajās esošajām daudzdzīvokļu ēkām, kuras būs pieņēmušas lēmumu par pieteikšanos daudzdzīvokļu mājas ēkas energoefektivitātes uzlabošanai, nevarēs saņemt atbalstu. Klimata un enerģētikas ministrijas pieņem, ka daļa no šīm daudzdzīvokļu mājām nevarēs saņemt atbalstu privātajās kredītiestādēs.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Dzīvokļu īpašnieki, ar pilnvarotās personas vai cita finansētāja starpniecību piesakoties sabiedrības "Altum" aizdevumam vai garantijai, piesakās arī kapitāla atlaidei. Kapitāla atlaide no cita finansētāja vai sabiedrības "Altum" attiecināmo izmaksu aizdevuma apmēra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Ministru kabineta noteikumu projekta nav iespējams viennozīmīgi saprast, vai atbalsta intensitātes kumulējās, tad Klimata un enerģētikas ministrijas ieskatā ir nepieciešams noteikt, ka papildus Ministru kabineta noteikumu projektā noteiktajam atbalsta īpatsvaram projekta iesniedzējs papildus bonusu saņemt par to, ka ēkas energoefektivitāte tiek paaugstināta līdz gandrīz nulles patēriņa ēkām (dziļā renovācija), tiek sniegts atbalsts enerģētiskai nabadzībai pakļautajām mājsaimniecībām arī ārpus Latgales reģiona.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Dzīvokļu īpašnieki, ar pilnvarotās personas vai cita finansētāja starpniecību piesakoties sabiedrības "Altum" aizdevumam vai garantijai, piesakās arī kapitāla atlaidei. Kapitāla atlaide no cita finansētāja vai sabiedrības "Altum" attiecināmo izmaksu aizdevuma apmēra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ēku skaitu, kuru būtu nepieciešams renovēt, lai uzlabotu šo ēku energoefektivitāti un inženiertehniskās konstrukcijas, tad ar pieejamo finansējumu atbalsta programmas ietvaros nepietiks. Vēršam uzmanību, ka arī Latvija, tai skaitā, tiek aicinātas paātrināt Renovācijas vilni. Līdz ar to Klimata un enerģētikas ministrija aicina Ekonomikas ministriju skaidri definēt normas / kritērijus, lai projekta pieteicējs vispirms vērstos privātajās kredītiestādēs, un tikai pie atteikuma projekta pieteicējs iesniedz projekta pieteikumu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atbalsta piešķiršanai dzīvokļu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iespēju robežās vienkāršot atbalsta saņemšanas procesu, tas ir, pieteikšanos, izvērtēšanu, projekta īstenošanu, finansējuma saņemšanu un atskaitīšanos par projekta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pieslēguma izveidošana centralizētajai siltumapgādes sistēmai un siltummezgla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Ministru kabineta noteikumu projekta 32.1. apakšpunktu sekojošā redakcijā "pieslēguma izveidošana </w:t>
            </w:r>
            <w:r w:rsidR="00000000" w:rsidRPr="00000000" w:rsidDel="00000000">
              <w:rPr>
                <w:b w:val="1"/>
                <w:rtl w:val="0"/>
              </w:rPr>
              <w:t xml:space="preserve">efektīvai </w:t>
            </w:r>
            <w:r w:rsidR="00000000" w:rsidRPr="00000000" w:rsidDel="00000000">
              <w:rPr>
                <w:rtl w:val="0"/>
              </w:rPr>
              <w:t xml:space="preserve">centralizētajai siltumapgādes sistēmai un siltummezgla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bezemisiju atjaunojamo energoresursu tehnoloģiju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vienkāršošanas ietvaros aicinām apvienot Ministru kabineta 32.2. un 32.3. apakšpunktus, izsakot šādā redakcijā "32.2. efektīvas bezemisiju siltumapgādes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informāciju, kas pamato šo noteikumu 30. punkta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sniegt skaidrojumu, vai tiek plānots, ka ALTUM uzkrās informāciju no projekta iesniedzējiem ēkas līmenī par projekta ietvaros plānoto siltumnīcefekta gāzu  emisiju samazinājumu gadā, projekta pieteikumā norādīto paredzamo sasniedzamo enerģijas galapatēriņa ietaupījumu un sasniegto enerģijas galapatēriņa ietaupījumu.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07.10.2024.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07.10.2024.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Atzinumi_24-TA-1254.docx</dc:title>
</cp:coreProperties>
</file>

<file path=docProps/custom.xml><?xml version="1.0" encoding="utf-8"?>
<Properties xmlns="http://schemas.openxmlformats.org/officeDocument/2006/custom-properties" xmlns:vt="http://schemas.openxmlformats.org/officeDocument/2006/docPropsVTypes"/>
</file>