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23-TA-2551: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4.1.1.1. pasākuma "Ārstniecības iestāžu infrastruktūras attīstība"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Projekta izmaksas ir attiecināmas, ja tās atbilst šajos noteikumos minētajām izmaksu pozīcijām un ir radušās ne agrāk par 2021. gada 1. janvāri. Projektā neiekļauj darbības, kas ir pabeigtas līguma par projekta īstenošanu noslēgšanas brīdī.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noteikumu projekta 31.punkta otro teikumu šādā redakcijā: “Projekta iesniegumā neiekļauj un finansējumu nepiešķir darbībām, kas pabeigtas pirms projekta iesnieguma iesniegšanas sadarbības iestādē.”. Attiecīgi arī precizējot anotācijas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Regulas 2021/1060 63.panta 6.punktu Darbības atbalsta saņemšanai no fondiem neatlasa, ja tās ir faktiski pabeigtas vai pilnībā īstenotas, </w:t>
            </w:r>
            <w:r w:rsidR="00000000" w:rsidRPr="00000000" w:rsidDel="00000000">
              <w:rPr>
                <w:u w:val="single"/>
                <w:rtl w:val="0"/>
              </w:rPr>
              <w:t xml:space="preserve">pirms ir iesniegts pieteikums par finansējumu atbilstoši programmai, neatkarīgi no tā, vai ir veikti visi saistītie maksājumi.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pēc nepieciešamības papildināt anotācijas projektu sniedzot skaidrojumu, ka gadījumā, ja projektā netiek plānotas ar būvniecību saistītās darbības, finansējuma saņēmējam nav pienākums uzkrāt  datus par projekta ietekmi uz horizontālā principa  “Vienlīdzība, iekļaušana, nediskriminācija un pamattiesību ievērošana”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objektu skaitu, kuros ERAF ieguldījumu rezultātā ir nodrošināta vides un informācijas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veikto vides un informācijas piekļūstamības pašnovērtējumu skaits, atbilstoši LM izstrādātajai metodikai.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no anotācijas projekta svītrot informāciju, ka projektu iesniegumu vērtēšanā tiks piemērots kvalitātes rādītājs horizontālajam principam “Vienlīdzība, iekļaušana, nediskriminācija un pamattiesību ievērošana”, kura izpilde vērtēšanā dod projektam papildu punktus, kas veicinās tādu projektu atlasi, kuri sniegs ieguldījumu horizontālā principa mērķu sasniegšanā, jo projektu iesniegumu atlasi īsteno ierobežotas projektu iesniegumu atlases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Visikovska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ar Veselības ministrijas argumentiem, kāpēc šajā pasākumā ir ierobežotas iespējas izstrādāt vienkāršotās izmaksas un papildināt, ka Veselības ministrija projektu īstenošanas fāzē, kad būs veikti faktiski maksājumi un būs pieejami izejas dati par darbību izmaksām, izvērtēs vienkāršoto izmaksu izstrādes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1.3.sadaļas “Pašreizējā situācija, problēmas un risinājumi” punkta “Risinājuma apraksts” otrajā tabulā novērst matemātisko neprecizitāti, jo, saskaitot finansējumu pa pozīcijām, veidojas 214 428 889 </w:t>
            </w:r>
            <w:r w:rsidR="00000000" w:rsidRPr="00000000" w:rsidDel="00000000">
              <w:rPr>
                <w:i w:val="1"/>
                <w:rtl w:val="0"/>
              </w:rPr>
              <w:t xml:space="preserve">euro</w:t>
            </w:r>
            <w:r w:rsidR="00000000" w:rsidRPr="00000000" w:rsidDel="00000000">
              <w:rPr>
                <w:rtl w:val="0"/>
              </w:rPr>
              <w:t xml:space="preserve">, nevis 295 972 099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23-TA-2551</w:t>
    </w:r>
    <w:r>
      <w:br/>
    </w:r>
    <w:r w:rsidR="00000000" w:rsidRPr="00000000" w:rsidDel="00000000">
      <w:rPr>
        <w:rtl w:val="0"/>
      </w:rPr>
      <w:t xml:space="preserve">Izdrukāts 02.04.2024. 15.45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23-TA-2551</w:t>
    </w:r>
    <w:r>
      <w:br/>
    </w:r>
    <w:r w:rsidR="00000000" w:rsidRPr="00000000" w:rsidDel="00000000">
      <w:rPr>
        <w:rtl w:val="0"/>
      </w:rPr>
      <w:t xml:space="preserve">Izdrukāts 02.04.2024. 15.45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Atzinumi_23-TA-2551.docx</dc:title>
</cp:coreProperties>
</file>

<file path=docProps/custom.xml><?xml version="1.0" encoding="utf-8"?>
<Properties xmlns="http://schemas.openxmlformats.org/officeDocument/2006/custom-properties" xmlns:vt="http://schemas.openxmlformats.org/officeDocument/2006/docPropsVTypes"/>
</file>