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29.6. ja amatpersona tiek pārcelta citā amatā valsts interesēs uz iestādi, kas nav minēta noteikumu 1.1. apakšpunktā.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ar izņēmuma gadījumu, ja pārcelšanas pamatojums ir ierēdņa motivēts lūgums.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29.6. ja amatpersona tiek pārcelta citā amatā valsts interesēs uz iestādi, kas nav minēta noteikumu 1.1. apakšpunktā, izņēmuma gadījumus, ja pārcelšanas pamatojums ir ierēdņa motivēts lūgums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Vineta Miščenko (VID)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vēršam uzmanību, ka noteikumu projektā nav paredzēta tā spēkā stāšanās 2023.gada 1.septembrī - līdz ar to informācija anotācijas 1.2.sadaļā būtu salāgojama ar noteikumu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16.08.2023.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16.08.2023.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