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resursu uzskaites un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par pedagogu (ja pieteikumu iesniedz pedagogs):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11.3. apakšpunktu,  papildinot, ka resurss pastāvīgai lietošanai var tikt izsniegts arī citiem izglītības iestādes  darbiniekiem (piemēram, datorkabineta laborants, medicīnas māsai, sociālajam pedagogam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Laborants nav pedagogs, bet darba vajadzībām datortehnika viņam varētu būt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23.2.7. pazīmi, ka izglītojamajam ir invaliditāte;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informācijas sistēmā (turpmāk – VIIS) nav avots, lai saņemtu informāciju par pazīmi –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invaliditātes pazīmi (vismaz šobrīd) saņem, ja ir inicializēta datu apmaiņa ar VDEĀK.  Izmaiņu monitorings sāk darboties tikai pēc tam, kad pazīme ir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pazīme ir terminēta atbilstoši Invaliditātes likums (likumi.lv) 8.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8.pants. Prognozējamas invaliditātes un invaliditātes ekspertīze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funkcionēšanas ierobežojumu izvērtē Valsts komisijas ārsti. Valsts komisijas ārsti funkcionēšanas ierobežojuma izvērtēšanā ir neatkarīgi.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personas funkcionēšanas ierobežojuma izvērtējumu, Valsts komisijas amatpersona izdod administratīvo aktu, ar kuru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invaliditāti, ja personas funkcionēšanas ierobežojuma pakāpe atbilst invaliditātes noteikšanas kritērijiem, — uz noteiktu termiņu (no sešiem mēnešiem līdz pieciem gadiem, bet personai, kura līdz invaliditātes ekspertīzes veikšanas dienai nav sasniegusi 18 gadu vecumu, arī līdz dienai, kad tā sasniedz 18 gadu vecumu) vai bez atkārtota ekspertīzes termiņa (uz mūžu);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prognozējamu invaliditāti, ja personas funkcionēšanas ierobežojuma pakāpe atbilst prognozējamas invaliditātes noteikšanas kritērijiem un paredzams, ka bez ārstniecības, rehabilitācijas un sociālo pakalpojumu saņemšanas tā palielināsies un atbildīs invaliditātes noteikšanas kritērijiem, — uz noteiktu termiņu (no sešiem mēnešiem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darbspēju zaudējumu procentos uz noteiktu termiņu (no sešiem mēnešiem līdz pieciem gadiem) vai bez atkārtota ekspertīzes termiņa (uz mūžu) normatīvajos aktos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Izglītības resursu uzskaites un monitoringa informācijas sistēma (turpmāk – RUMIS) dati tiek ievadīti/ievilkti dienā, kad tiek izveidots pieteikums. Lūdzam skaidrot, ja 8. pantā noteiktais termiņš ir beidzies- vai un kā RUMIS saņem informāciju par izmaiņām? Vai tas ietekmē iepriekš uzrakstītā pieteikuma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23.2.9. pazīme, ka izglītojamais ir no trūcīgas vai maznodrošinātas ģimenes, norādot laikposmu, kurā ģimenei ir piešķirts trūcīgas vai maznodrošinātas ģimenes statuss.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VIIS nav avots, par pazīmi, ka izglītojamais ir no trūcīgas vai maznodrošinātas ģimenes. Vienlaikus jāņem vērā, ka šie statusi ir mainīgi un netiek integrēti dati par sociālo lietu dienestu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paredzētas integrācijas ar aktuālu datu saņemšanu lēmumā pie resursa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Šobrīd ir tikai pieņēmumi, ka nākotnē plānota datu apmaiņa. Gadījumā, ja RUMIS darbības uzsākšanas laikā nav realizēti pieņēmumi, pašvaldības iestādei (vismaz Rīgai) tiek uzlikts papildus slogs, bez atbilstošiem resursiem informācijas uzturēšanai un bez atbilstošu datu pieejamības (iestādes ikdienā ar šādu informāciju nestrādā, tās saņem, piemēram, tikai izziņas). Paredzams, ka bez datu apmaiņas ar tiešajiem datu devējiem,  informācija būs neprecīza un radīs tikai papildus neskaidrības procesa realizācijā.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izglītības iestādes vadītājam un vadītāja vietniekam automātiski vienas dienas laikā pēc attiecīgās informācijas ievadīšanas Valsts izglītības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iestādes vadītājam ir vairāki vietnieki. Jānosaka direktora pienākums nozīmēt atbildīgo direktora vietnieku.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No Datu regulas viedokļa RUMIS tiks apstrādāti personas dati, kuriem ar konkrēto procesu iespējams nebūs nekāds sakars. No datu apstrādes minimizēšanas skatu punkta, tā ir atbalstāma prakse. Administrēšanas ērtība nav kritērijs liekai personas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pārrauga un nodrošina informācijas ievadi un aktualizēšanu informācijas sistēmā to dibinātajās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nevar nodrošināt ne informācijas ievadi, ne aktualizēšanu- tā ir iestādes vadītāja atbildība, kas ir definēta 27. punktā. Pašvaldība var tikai pārraudzīt un koordinēt.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Informācijas sistēmas uzturēšanas un attīstīšanas izmaksas sevī ietver: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būs kārtējais obligātais pienākums, kas jānodrošina iestādēm  un pašvaldībām bez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ar apakšpunktu 31.5.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atbildīgo personu par RUMIS atalgojumu, to pārskaitot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26.05.2023.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26.05.2023.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Atzinumi_22-TA-3212.docx</dc:title>
</cp:coreProperties>
</file>

<file path=docProps/custom.xml><?xml version="1.0" encoding="utf-8"?>
<Properties xmlns="http://schemas.openxmlformats.org/officeDocument/2006/custom-properties" xmlns:vt="http://schemas.openxmlformats.org/officeDocument/2006/docPropsVTypes"/>
</file>