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"Mežole"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izziņu atkārtoti secināms, ka Tieslietu ministrijas iepriekš izteiktais iebildums līdz galam tomēr nav ņemts vērā. Proti, projekta anotācijā, Tieslietu ministrijas ieskatā, nav ietverts pienācīgs privātpersonai noteiktā īpašuma tiesību ierobežojuma satversmīguma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neliels apraksts par to, ka projekts atbilst Satversmei nav uzskatāms par atbilstības izvērtējumu, tāpat fakts, ka dabas liegumā atrodas tikai vienas privātpersonas - juridiskas personas īpašums, nenozīmē to, ka personas Satversmē garantētās tiesības, nosakot dabas lieguma teritoriju, nav iespējams aizskart vai, ka projekta satversmību tādēļ nav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 izvērtē t nepieciešamību papildināt anotāciju ar detalizētu katra noteiktā aprobežojuma samērīguma (atbilstību Latvijas Republikas Satversmes 105. pantam)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norādām, ka par katra tiesību akta projekta atbilstību augstāka ranga normām ir atbildīgs tieši projekta izstrādātājs un virzītājs.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13.01.2025.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13.01.2025.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Atzinumi_23-TA-2264.docx</dc:title>
</cp:coreProperties>
</file>

<file path=docProps/custom.xml><?xml version="1.0" encoding="utf-8"?>
<Properties xmlns="http://schemas.openxmlformats.org/officeDocument/2006/custom-properties" xmlns:vt="http://schemas.openxmlformats.org/officeDocument/2006/docPropsVTypes"/>
</file>