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6.2.3. dzīves situāciju reģistru, kurā ietver informāciju atbilstoši normatīvo aktu prasībām par publiskajiem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nav izprotams formulējums- kas ir dzīves situāciju reģistrs. Lūdzam precizēt vai sniegt Anotācijā skaidrojumu, lai normatīvais akts var tikt viennozīmīgi piemērots.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Pieteikums par Valsts informācijas resursu, sistēmu un sadarbspējas informācijas sistēmas lietošanas uzsākšanu vai pārtraukšanu (institūcijas lietotāju administratora izveide, datu izmaiņas vai dzēšana)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Pielikumā nr. 1 norādītās informācijas publiskošanu. Proti, Pielikumā nr. 1 ir prasīts norādīt darbavietas fiksēto IP adresi, lai arī noteikumos šāda informācija netiek prasīta (22. punkts). LDDK var pieņemt regulējumu, ja šie kontaktpersonas dati tiek glabāti tikai pie VRAA (Pārziņa), bet šo informāciju nebūtu pieļaujami publicēt. Šādas informācijas publiskošana rada potenciāli risku, ka tā var tikt izmantota pretēji mērķim, it īpaši hibrīdkara apstākļos. Publicēšana nav pieļaujama arī attiecībā uz kontaktpersonas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