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būt atbildīga par 4.3.1. pasākuma "Alternatīvo degvielu infrastruktūras attīstīšana un uzturēšana (t.sk. ETL uzlādes vietas, ūdeņraža, CNG un LNG uzpildes stacijas)" īstenošanu, jo Ekonomikas ministrijas atbildībā nav publiskās infrastruktūras attīstība un uzturēšana.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iepriekšējā saskaņošanas termiņā, Ekonomikas ministrija iebilduma prasība par minētā pasākuma atsauci uz Eiropas Parlamenta un Padomes Direktīvas (ES) 2024/1275 par ēku energosniegumu (pārstrādāta redakcija) 14. panta "Ilgtspējīgas mobilitātes infrastruktūra" prasībām, attiecas uz norādi, ka informācija jānorāda, kā zemsvītras atsauce. Alternatīvi, ja Satiksmes ministrija iebilst par zemsvītras atsauces pievienošanu, minēto informāciju aicinām pievienot informatīvā ziņojuma 3. sadaļas "Politikas ietekmes novērtējums" apakšsadaļā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Niks Balinskis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19.11.2024.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