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projektu, piemēram, 24.3.4.apakšpunktu un 86. punktu, atbilstoši pēdējiem precizējumiem attiecībā uz komercdarbības atbalsta neattiecināšanu un ar to saistīto nosacījumu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 projekta aktivitātes īstenošana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Projekta iesniedzējs vai sadarbības partneris sagatavo un saskaņo ar publisko vai privāto zemes īpašnieku projekta tehnisko dokumentāciju un noslēdz vienošanos starp projekta iesniedzēju vai sadarbības partneri un iesaistīto publisko vai privāto zemes īpašnieku par sadarbību projekta īstenošanā, izbūvētās, pārbūvētās vai atjaunotās infrastruktūras īpašuma, valdījuma vai bezatlīdzības turējuma tiesībām un projekta rezultātu uzturēšanu projekta dzīves cikla laikā vismaz piecus gadus pēc projekta noslēguma maksāšanas veikšanas. Attiecīgās aktivitātes īstenošana publiskā vai privātā zemes īpašnieka piederošajā nekustamajā īpašumā ir funkcionāli nepieciešama projekta mērķa sasniegšanai un ieguldījums nav vērsts uz nepamatotas individuālas ekonomiskas priekšrocības radīšanu attiecīgā nekustamā īpašuma īpašniekam.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30.10. apakšpunktu, nodrošinot tiesiskās noteiktība un objektivitātes principa ievērošanu attiecībā uz tiesību normu adresātu. Norādām, ka pašreizējā projekta 30.10. apakšpunkta redakcija satur subjektīvi vērtējamu formulējumu "nepamatotas individuālas ekonomiskas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projekta iesniegumu iesniedz projekta iesniedzēja pilnvarotā persona – pilnvaru vai citu dokumentu, kas apliecina pilnvarojumu par tiesībām pārstāvēt projekta iesniedzēju konkursā un veikt visas darbības, kas nepieciešamas projekta iesniedzēja pienākumu atbilstošai izpildei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39. punkts ir nosakāms kā atsevišķa projekta vienība vai projekta 38. punkta apakšvienība, un veikt nepieciešamos precizējumus. Projekta 39. punkta struktūra, redakcija veidota līdzīgi kā projekta 38. punkta apakšpunktiem un no tā būtības saprotams, ka tas ir papildinājums iesniegumam pievienojamo dokumentu sarakstam.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Administratīvo aktu vai pārvaldes lēmumu (turpmāk – lēmums) par projekta iesnieguma apstiprināšanu vai noraidīšanu Vides investīciju fonds nosūta projekta iesniedzējam pa pastu piecu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50. un 52. punktu, nepieciešamības gadījumā tos apvienojot.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noteic, ka lēmumu par projekta iesnieguma apstiprināšanu vai noraidīšanu sabiedrība ar ierobežotu atbildību "Vides investīciju fonds" (turpmāk – fonds) </w:t>
            </w:r>
            <w:r w:rsidR="00000000" w:rsidRPr="00000000" w:rsidDel="00000000">
              <w:rPr>
                <w:u w:val="single"/>
                <w:rtl w:val="0"/>
              </w:rPr>
              <w:t xml:space="preserve">paziņo</w:t>
            </w:r>
            <w:r w:rsidR="00000000" w:rsidRPr="00000000" w:rsidDel="00000000">
              <w:rPr>
                <w:rtl w:val="0"/>
              </w:rPr>
              <w:t xml:space="preserve"> projekta iesniedzējam </w:t>
            </w:r>
            <w:r w:rsidR="00000000" w:rsidRPr="00000000" w:rsidDel="00000000">
              <w:rPr>
                <w:u w:val="single"/>
                <w:rtl w:val="0"/>
              </w:rPr>
              <w:t xml:space="preserve">triju darbdienu laikā pēc lēmuma pieņemšanas</w:t>
            </w:r>
            <w:r w:rsidR="00000000" w:rsidRPr="00000000" w:rsidDel="00000000">
              <w:rPr>
                <w:rtl w:val="0"/>
              </w:rPr>
              <w:t xml:space="preserve">. Vienlaikus noteikumu projekta 52. punkts paredz, ka administratīvo aktu vai pārvaldes lēmumu par projekta iesnieguma apstiprināšanu vai noraidīšanu fonds </w:t>
            </w:r>
            <w:r w:rsidR="00000000" w:rsidRPr="00000000" w:rsidDel="00000000">
              <w:rPr>
                <w:u w:val="single"/>
                <w:rtl w:val="0"/>
              </w:rPr>
              <w:t xml:space="preserve">nosūta</w:t>
            </w:r>
            <w:r w:rsidR="00000000" w:rsidRPr="00000000" w:rsidDel="00000000">
              <w:rPr>
                <w:rtl w:val="0"/>
              </w:rPr>
              <w:t xml:space="preserve"> projekta iesniedzējam pa pastu </w:t>
            </w:r>
            <w:r w:rsidR="00000000" w:rsidRPr="00000000" w:rsidDel="00000000">
              <w:rPr>
                <w:u w:val="single"/>
                <w:rtl w:val="0"/>
              </w:rPr>
              <w:t xml:space="preserve">piecu darbdienu laikā pēc lēmuma pieņemšanas</w:t>
            </w:r>
            <w:r w:rsidR="00000000" w:rsidRPr="00000000" w:rsidDel="00000000">
              <w:rPr>
                <w:rtl w:val="0"/>
              </w:rPr>
              <w:t xml:space="preserve">. Informējam, ka administratīvo aktu atbilstoši 70. panta otrajai daļai paziņo atbilstoši Paziņošanas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8. panta otrā daļa noteic, ka dokuments, kas paziņots kā vienkāršs pasta sūtījums, uzskatāms par paziņotu astotajā dienā no dienas, kad tas iestādē reģistrēts kā nosūtāmais dokuments. Savukārt, dokuments, kas paziņots kā ierakstīts pasta sūtījums, atbilstoši šā panta trešajai daļai uzskatāms par paziņotu septītajā dienā pēc tā nodošanas pastā. Tādējādi noteikumu projekta 50. un 52. punkta regulējums nav savstarpēji saskaņots un no tā nav konstatējams, kāda ir fonda lēmuma paziņošanas kārtība un termiņš. Turklāt, atbilstoši Administratīvā procesa likuma un Paziņošanas likuma noteikumiem administratīvā akta nosūtīšana pati par sevi vēl nenozīmē tā paziņošanu.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projekta iesniedzējs nenoslēdz projekta līgumu 30 kalendāro dienu laikā, atbilstoši šo noteikumu </w:t>
            </w:r>
            <w:r w:rsidR="00000000" w:rsidRPr="00000000" w:rsidDel="00000000">
              <w:rPr>
                <w:rtl w:val="0"/>
              </w:rPr>
              <w:t xml:space="preserve">53.</w:t>
            </w:r>
            <w:r w:rsidR="00000000" w:rsidRPr="00000000" w:rsidDel="00000000">
              <w:rPr>
                <w:rtl w:val="0"/>
              </w:rPr>
              <w:t xml:space="preserve"> punktā  noteiktajam, no Vides investīciju fonda lēmuma saņemšanas dienas,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54. punktā nedublēt nosacījumus, kuri izriet no projekta 53. punkta un uz kuru 54. punktā ir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nenoslēdz projekta līgumu atbilstoši šo noteikumu 53. punktā  noteiktajam,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kas ir nodots finansējuma saņēmēja vai sadarbības partnera bezatlīdzības turējumā vai kurā tam ir normatīvajos aktos noteiktajā kārtībā nostiprinātas projekta īstenošanai nepieciešamās apbūves vai servitūta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normatīvajiem aktiem veidot atbilstoši Ministru kabineta 2009. gada 3. februāra noteikumu Nr. 108 „Normatīvo aktu projektu sagatavošanas noteikumi” 3.7. apakšnodaļas nosacījumiem. Piemēram, tādi vispārīgi formulējumi kā "normatīvajos aktos noteiktajā kārtībā" nenodrošina tiesību normu adresātam precīzu izpratni par to, saskaņā ar kādiem konkrētiem tiesību aktiem, vai tiesību aktu jomu tam jārīkojas.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Finansējuma saņēmējs finanšu instrumenta līdzekļus, kas atzīti par neattiecināmiem saskaņā ar šo noteikumu </w:t>
            </w:r>
            <w:r w:rsidR="00000000" w:rsidRPr="00000000" w:rsidDel="00000000">
              <w:rPr>
                <w:rtl w:val="0"/>
              </w:rPr>
              <w:t xml:space="preserve">88.</w:t>
            </w:r>
            <w:r w:rsidR="00000000" w:rsidRPr="00000000" w:rsidDel="00000000">
              <w:rPr>
                <w:rtl w:val="0"/>
              </w:rPr>
              <w:t xml:space="preserve"> punktu, atmaksā ministrijai  uz Vides investīciju fonda lēmumā par projektam izmaksāto finanšu instrumenta līdzekļu atzīšanu par neattiecināmiem un finanšu instrumenta līdzekļu atgūšanu norādīto kontu atbilstoši projekta līgumā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korektas projekta iekšējās atsauces. Piemēram, projekta 89. punkts uzliek pienākumu atmaksāt līdzekļus, kas atzīti par neattiecināmiem saskaņā ar projekta 88. punktu</w:t>
            </w:r>
            <w:r w:rsidR="00000000" w:rsidRPr="00000000" w:rsidDel="00000000">
              <w:rPr>
                <w:rtl w:val="0"/>
              </w:rPr>
              <w:t xml:space="preserve">. Savukārt projekta 88. punkts nosaka prasības attiecībā uz infrastruktūras, kurā veiktas projektā atbalstāmās aktivitātes, ekspluatāciju. Līdzīgi iesakām izvērtēt piezīmes 1. pielikuma 3.7. tabulai kontekstā ar projekta 46.10. apakšpunktā noteikto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precīzus projekta skaidrojumus. Piemēram, projekta 26. punktā skaidrots, ka "</w:t>
            </w:r>
            <w:r w:rsidR="00000000" w:rsidRPr="00000000" w:rsidDel="00000000">
              <w:rPr>
                <w:i w:val="1"/>
                <w:rtl w:val="0"/>
              </w:rPr>
              <w:t xml:space="preserve">Šo noteikumu projekta 26. punkts nosaka attiecināmo izmaksu ierobežojumus, ievērojot, ka šo noteikumu projekta 24.3., 24.4., 24.5. un 24.6. apakšpunktā minētās izmaksas kopsummā nedrīkst pārsniegt 20% no kopējām projekta attiecināmajām izmaksām</w:t>
            </w:r>
            <w:r w:rsidR="00000000" w:rsidRPr="00000000" w:rsidDel="00000000">
              <w:rPr>
                <w:rtl w:val="0"/>
              </w:rPr>
              <w:t xml:space="preserve">", lai arī nosacījums, ka izmaksas kopsummā nedrīkst pārsniegt 20% no kopējām projekta attiecināmajām izmaksām, attiecināts uz 24.6., 24.7.​​​​​, 24.8. un 24.9. apakšpunktā minētajām izmaksām. Skaidrots, ka tikai projekta 22.1. apakšpunkta aktivitātē viena projekta ietvaros var paredzēt aktivitāšu īstenošanu vienā vai vairākās pašvaldības administratīvās teritorijas apdzīvotās vietās, lai gan no projekta 12. punkta izriet, ka tāds pats nosacījums attiecināms arī uz projekta 22.2. apakšpunktā minēto aktivitāti. Anotācijā norādīts, ka ministrija veic maksājumu 5 darbdienu</w:t>
            </w:r>
            <w:r w:rsidR="00000000" w:rsidRPr="00000000" w:rsidDel="00000000">
              <w:rPr>
                <w:rtl w:val="0"/>
              </w:rPr>
              <w:t xml:space="preserve"> laikā pēc fonda atzinuma saņemšanas, bet projekta 77. punktā - 20 darbdienās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projekta 30.10. apakšpunkta skaidrojumus par to, ka "</w:t>
            </w:r>
            <w:r w:rsidR="00000000" w:rsidRPr="00000000" w:rsidDel="00000000">
              <w:rPr>
                <w:i w:val="1"/>
                <w:rtl w:val="0"/>
              </w:rPr>
              <w:t xml:space="preserve">Vienlaikus projekta ietvaros nav paredzēts finansēt darbības, kuru rezultātā privātās zemes īpašniekam tiktu radīta nepamatota saimnieciska priekšrocība</w:t>
            </w:r>
            <w:r w:rsidR="00000000" w:rsidRPr="00000000" w:rsidDel="00000000">
              <w:rPr>
                <w:rtl w:val="0"/>
              </w:rPr>
              <w:t xml:space="preserve">", papildināt ar nepārprotamu skaidrojumu par šī regulējuma atbilstības nodrošināšanu Līguma par Eiropas Savienības darbību 107. panta nosacījumiem, pilnībā izslēdzot neatbilstoša komercdarbības atbalsta iespējamību. Pretēji izziņā skaidrotajam, ka šīs programmas ietvaros netiek sniegts komercdarbības atbalsts, projekta 30.10. apakšpunkts kā attiecināmās izmaksas nosaka finansējumu darbībām privātpersonu īpašumā, līdzīgi arī attiecībā uz publisko personu kapitālsabiedrībām (projekta 30.11. apakšpunkts) un kā skaidrots "</w:t>
            </w:r>
            <w:r w:rsidR="00000000" w:rsidRPr="00000000" w:rsidDel="00000000">
              <w:rPr>
                <w:i w:val="1"/>
                <w:rtl w:val="0"/>
              </w:rPr>
              <w:t xml:space="preserve">[..] minēto aktivitāšu izpildes rezultātā iegūtie rezultāti jeb izbūvētā, pārbūvētā vai atjaunotā infrastruktūra  vai iegādātā tehnika, iekārta ir iekļautas kā amortizējamie ilgtermiņa ieguldījumi finansējuma saņēmēja vai sadarbības partnera aktīvos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