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principu, ka jebkuri izdevumi, kas saistīti ar Valsts aizsardzības dienesta ieviešanu, tostarp arī civilā valsts aizsardzības dienesta ieviešanu, ir finansējami no aizsardzības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3.3.2.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1.aizstāt vārdus un skaitļus  “Kopā VACD īstenošanai 289 iesaucamajiem 11 mēnešiem IeM nozarē – 613 907 EUR.”ar vārdiem un skaitļiem “ Kopā VACD īstenošanai 100 iesaucamajiem 11 mēnešiem IeM nozarē – 610 907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2.aizstāt 1.tabulā 9.rindā skaitli ”1 175 865” ar skaitli “ 1 172 865”.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tekstu, nodrošinot tajā vārdkopas "Aizsardzības ministrija" saīsinājuma (AiM) korektu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3.3.1.apakšpunktā ietvertajā tekstā minēts, ka: "</w:t>
            </w:r>
            <w:r w:rsidR="00000000" w:rsidRPr="00000000" w:rsidDel="00000000">
              <w:rPr>
                <w:i w:val="1"/>
                <w:rtl w:val="0"/>
              </w:rPr>
              <w:t xml:space="preserve">Nokļūšanai uz dienesta pienākumu izpildes vietu izdevumi netiek plānoti</w:t>
            </w:r>
            <w:r w:rsidR="00000000" w:rsidRPr="00000000" w:rsidDel="00000000">
              <w:rPr>
                <w:rtl w:val="0"/>
              </w:rPr>
              <w:t xml:space="preserve">". Savukārt informatīvā ziņojuma 3.3.2.apakšpunktā ir ietverts kompensācijas par transporta izdevumiem aprēķins. Līdz ar to nepieciešams izvērtēt, kuru no abām minētajām informatīvā ziņojuma sadaļām nepieciešams precizēt, lai novērstu tajās minētās informācijas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17.02.2023. 20.31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17.02.2023. 20.31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