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Murjāņu sporta ģimnāzijas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pielikumu papildināt ar atsaucēm uz tām Pievienotās vērtības nodokļa likuma vienībām, saskaņā ar kurām attiecīgajam Murjāņu sporta skolas pakalpojumam vai pakalpojumu grupai pievienotās vērtības nodokli piemēro citā apmērā, nekā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sadaļu "Pašreizējā situācija", paredzot, ka Ministru kabineta 2003.gada 16.septembra noteikumu Nr. 528 „Izglītības un zinātnes ministrijas nolikums” 24.67. apakšpunkts noteic, ka Murjāņu sporta ģimnāzija atrodas Izglītības un zinātnes ministrijas padotībā, nevis minēto noteikumu 24.30.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17.05.2024.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17.05.2024.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Atzinumi_24-TA-532.docx</dc:title>
</cp:coreProperties>
</file>

<file path=docProps/custom.xml><?xml version="1.0" encoding="utf-8"?>
<Properties xmlns="http://schemas.openxmlformats.org/officeDocument/2006/custom-properties" xmlns:vt="http://schemas.openxmlformats.org/officeDocument/2006/docPropsVTypes"/>
</file>