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formas aizpildīšanas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rīkojuma pielikumā pievienotā izmaksu un ieguvumu analīze liecina, ka projekts ir ar augstu risku, proti, pastāv reāla iespēja, ka projekts valstij kļūs neizdevīgs - projekta izmaksām jāpieaug vien par 9%, lai projekta tagadnes vērtība kļūtu negatīva. Tas ir tāpēc, ka projekta ieguvumu pārsvars pār projekta kopējām izmaksām dzīves cikla laikā ir minimāls, un jebkurš relatīvi neliels izmaksu pieaugums vai ieguvumu samazinājums projekta ekonomisko tīro tagadnes vērtību (ENPV) padarīs negatīvu. Projektam paredzētās izmaksas ir pārāk lielas pret tiem ieguvumiem, kas sagaidāmi. Lūdzam projektu iesniedzēju veikt visus nepieciešamos precizējumus un uzlabojumus, lai izvairītos no augstāk minētajiem riskiem.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04.02.2025.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04.02.2025.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