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Tehniskās universitātes Nekustamo īpašumu attīstības plānu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Rīgas Tehniskajai universitātei saņemt Aizsardzības ministrijas rakstisku piekrišanu šā rīkojuma pielikuma 5. un 6. punktā minēto nekustamo īpašumu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pienākums nekustamā īpašuma īpašniekam saņemt Aizsardzības ministrijas piekrišanu nekustamā īpašuma atsavināšanai konkrētai personai, ja īpašnieks atsavina nekustamo īpašumu, vai tā daļu (arī domājamo daļu), kas pilnīgi vai daļēji atrodas aizsargjoslā ap valsts aizsardzības objektu, ir noteikts Aizsargjoslu likuma 58.</w:t>
            </w:r>
            <w:r w:rsidR="00000000" w:rsidRPr="00000000" w:rsidDel="00000000">
              <w:rPr>
                <w:vertAlign w:val="superscript"/>
                <w:rtl w:val="0"/>
              </w:rPr>
              <w:t xml:space="preserve">5</w:t>
            </w:r>
            <w:r w:rsidR="00000000" w:rsidRPr="00000000" w:rsidDel="00000000">
              <w:rPr>
                <w:rtl w:val="0"/>
              </w:rPr>
              <w:t xml:space="preserve"> panta otrajā daļā. Likuma normas mērķis ir novērst nacionālo drošību apdraudošu vai potenciāli apdraudošu ietekmi uz valsts aizsardzības objektu. Tā kā Aizsardzības ministrijas piekrišanas nekustamā īpašuma atsavināšanai saņemšana ir noteikta Aizsargjoslu likumā, Aizsardzības ministrija nesaskata nepieciešamību rīkojuma projektā saglabāt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no anotācijas 1.3.punktā minētā - tā kā rīkojuma projekta pielikuma 5. un 6.punktā minētos nekustamos īpašumus plānots pārdot izsolē un šobrīd nav iespējams noteikt nekustamo īpašumu ieguvējus, rīkojuma projekta 7. punktā RTU dots uzdevums saņemt Aizsardzības ministrijas rakstisku piekrišanu minēto nekustamo īpašumu atsavināšanai</w:t>
            </w:r>
            <w:r w:rsidR="00000000" w:rsidRPr="00000000" w:rsidDel="00000000">
              <w:rPr>
                <w:i w:val="1"/>
                <w:rtl w:val="0"/>
              </w:rPr>
              <w:t xml:space="preserve"> -</w:t>
            </w:r>
            <w:r w:rsidR="00000000" w:rsidRPr="00000000" w:rsidDel="00000000">
              <w:rPr>
                <w:rtl w:val="0"/>
              </w:rPr>
              <w:t xml:space="preserve"> var secināt, ka rīkojuma projekta 7.punkta mērķis ir saņemt Aizsardzības ministrijas piekrišanu atsavināšanai pirms izsoles organizēšanas. Vēršam uzmanību, ka, lai novērstu nacionālo drošību apdraudošu vai potenciāli apdraudošu ietekmi uz valsts aizsardzības objektu, ir nepieciešams vērtēt konkrētu personu, kurai tiek plānots atsavināt nekustamo īpašumu (aicinām izsoles dokumentos iekļaut atsauces uz Aizsargjoslu likuma 58.</w:t>
            </w:r>
            <w:r w:rsidR="00000000" w:rsidRPr="00000000" w:rsidDel="00000000">
              <w:rPr>
                <w:vertAlign w:val="superscript"/>
                <w:rtl w:val="0"/>
              </w:rPr>
              <w:t xml:space="preserve">5</w:t>
            </w:r>
            <w:r w:rsidR="00000000" w:rsidRPr="00000000" w:rsidDel="00000000">
              <w:rPr>
                <w:rtl w:val="0"/>
              </w:rPr>
              <w:t xml:space="preserve"> panta otro, trešo un ceturto daļu, t.sk. paredzot arī rīcību gadījumā, ja Aizsardzības ministrijas piekrišana attiecībā uz konkrēto personu netiek saņemta).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rīkojuma projekta 7.punktu, kā arī attiecīgi precizēt anotācijas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02.07.2024.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02.07.2024.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Atzinumi_24-TA-1364.docx</dc:title>
</cp:coreProperties>
</file>

<file path=docProps/custom.xml><?xml version="1.0" encoding="utf-8"?>
<Properties xmlns="http://schemas.openxmlformats.org/officeDocument/2006/custom-properties" xmlns:vt="http://schemas.openxmlformats.org/officeDocument/2006/docPropsVTypes"/>
</file>