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24-TA-492: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4.1.2.4. pasākuma “Pierādījumos balstītu narkotiku lietošanas profilakses programmu īstenošana un profilakses kvalitātes standartu ieviešana”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novērtējumu par plānoto ietekmi uz tautsaimniecību t.sk. norādot pēc iespējas izmērāmus faktiski sagaidāmos rezultātus/ rādītājus.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Investīciju pienesumu tautsaimniecībai atspoguļo, piemēram, izmērāma ietekme uz makroekonomisko vidi, pienesums ekonomikas transformācijai, nozaru konkurētspējai, uzņēmējdarbības videi, nodarbinātībai, kā arī ietekme uz nozaru politikas mērķiem, Latvijas Nacionālajā attīstības plāna 2021.–2027.gadam noteiktajiem mērķiem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darbība “Standartizētas profilakses programmas licences iegāde, īstenošana un ietekmes izvērtēšana” ietver attiecināmo izmaksu pozīciju: "• iekšzemes komandējumu izmaksas projekta vadības, treneriem un apmācību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komandējuma izmaksas kā atsevišķs izmaksu veids MK noteikumu līmenī nav atrunāts, tad, ja vēlaties šādas izmaksas iekļaut projekta izmaksās, vai nu jāparedz attiecīga izmaksu pozīcija MK noteikumos, t.sk. jāparedz, ka komandējuma izmaksām piemēro vadošās iestādes izstrādātās metodikas iekšzemes komandējumu izmaksām un 1 km izmaksām, vai arī tās jāiekļauj iepirkuma līgumu pakalpojumu izmaksās. Papildus lūdzam izvērtēt lielo administratīvo slogu, kas rastos katra atsevišķā apmācību dalībnieka komandējuma izmaksu attiecināšanai uz projektu, tamdēļ lūdzam izvērtēt iespēju apmācību dalībniekiem nodarbības nodrošināt viņu izglītības iestādē, vai arī viņu komandējuma izmaksas iekļaut apmācību pakalpojuma sniedzēja līguma izmaksās.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Bergmane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darbība “Standartizētas profilakses programmas licences iegāde, īstenošana un ietekmes izvērtēšana” ietver attiecināmo izmaksu pozīciju: "• programmas ieviešanas koordinācijas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ko ietver programmas ieviešanas koordinācijas izmaksas un vai tās nav sedzamas no projekta personāla izmaksu vienotās likmes.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Bergmane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"Pasākums kopumā ir iedalīts trīs galvenajos virzienos: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Pierādījumos balstītas programmas “Labas uzvedības spēle” (angl. Good Behaviour game11) ieviešana Latvijā.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tālāk anotācijā sniegto informāciju, ka plānota šīs programmas pilotēšana, iekļaujot tikai apmēram 10% mēķauditorijas, lūdzam precizēt šeit teikto, ka pasākuma ietvaros plānota programmas "ieviešana Latvijā", jo programmas pilotēšana un izvērtēšana nav uzskatāma par programmas ieviešanu Latvijā.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Bergmane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datu uzkrāšanai atbilstoši Eiropas Parlamenta un Padomes 2021. gada 24. jūnija Regulas (ES) 2021/1057, ar ko izveido Eiropas Sociālo fondu Plus (ESF+) un atceļ Regulu (ES) Nr. 1296/2013 (turpmāk - Regula 2021/1057), I pielikumam un Ministru kabineta 2023. gada 21. marta noteikumu Nr. 135 "Eiropas Savienības fondu projektu pārbaužu veikšanas kārtība 2021.–2027. gada plānošanas periodā" (turpmāk - noteikumi Nr. 135) 1. pielikumam ir konkrēts mērķis - rādītāju, kas attiecas uz projekta dalībniekiem, iesniegšana sadarbības iestādē Eiropas Komisijas informēšanai.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anotācijas 8.1.13. apakšsadaļā minēto par datu uzkrāšanu atbilstoši Regulai 2021/1057 un noteikumiem Nr. 135 un pēc nepieciešamības to svītrot, vai arī papildināt noteikumu projektu ar finansējuma saņēmēja pienākumu uzkrāt, uzskaitīt un iesniegt sadarbības iestādē informāciju par atbalstu saņēmušajām mērķa grupu personām atbilstoši Regulas 2021/1057 I pielikumam un noteikumu Nr. 135 1. pielikumam.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ja ir paredzēta personas datu apstrāde, aicinām noteikumu projektu saskaņot arī ar Datu valsts inspekciju.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Prasības projekta iesniedzējam, finansējuma saņēmējam un projekta vērtēšanai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IV nodaļas nosaukumu, jo </w:t>
            </w:r>
            <w:r w:rsidR="00000000" w:rsidRPr="00000000" w:rsidDel="00000000">
              <w:rPr>
                <w:u w:val="single"/>
                <w:rtl w:val="0"/>
              </w:rPr>
              <w:t xml:space="preserve">projekta vērtēšanas prasības</w:t>
            </w:r>
            <w:r w:rsidR="00000000" w:rsidRPr="00000000" w:rsidDel="00000000">
              <w:rPr>
                <w:rtl w:val="0"/>
              </w:rPr>
              <w:t xml:space="preserve"> izriet no horizontālā normatīvā regulējuma, tostarp Ministru kabineta 2023. gada 13. jūlija noteikumiem Nr. 408 "Kārtība, kādā Eiropas Savienības fondu vadībā iesaistītās institūcijas nodrošina šo fondu ieviešanu 2021.-2027. gada plānošanas periodā" un projekta atlases nolikuma. Atbilstoši aicinām izvērtēt nepieciešamību svītrot arī noteikumu projekta 17. punktu, ņemot vērā, ka tajā noteiktais nav uzskatāms par papildu prasību jau Eiropas Savienības fondu 2021.-2027. gada plānošanas perioda vadības likuma 21. pantā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pat aicinām izvērtēt, vai projektu iesniegumu vērtēšanas komisijā nav iekļaujams pārstāvis no Izglītības un zinātnes ministrijas, ņemot vērā, ka pasākuma ietvaros plānots iesaistīt sākumskolas skolēnus vecumā no sešiem līdz 11 gadiem un sākumskolu pedagogus.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Finansējuma saņēmējs uzkrāj datus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minētā rādītāja izvērtēšanai.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pārbaudīt vai korekti norādīta atsauce uz MKN punktu un  precizēt to vai skaidrot anotācijā kāda datu uzkrāšana un izvērtēšana ir nepieciešama par iznākuma rādītāju "Nacionāla, reģionāla vai vietēja mēroga valsts administrācijas vai sabiedrisko pakalpojumu iestāžu un pakalpojumu skaits, kas saņēmušas atbalstu".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Regīna Vigula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sadaļas apakšsadaļā "Risinājuma apraksts" norādi par finansējuma saņēmēja funkciju nodalīšanu, ņemot vērā, ka finansējuma saņēmējs ir valsts pārvaldes iestāde un tā neveic saimniecisko darbību, vai attiecīgi sniegt atbilstošu skaidrojumu par saimnieciskās darbības veikšanu.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kā 4.1.2.4. pasākuma “Pierādījumos balstītu narkotiku lietošanas profilakses programmu īstenošana un profilakses kvalitātes standartu ieviešana” ietvaros īstenotais projekts un minētās atbalstāmās darbības veicinās  Eiropas Savienības stratēģijā Baltijas jūras reģionam (ESSBJR) noteikto mērķu sasniegšanu. Kā arī anotācijā jānorāda, ka investīcijām piemērojams Makroreģionālā un jūras baseinu stratēģija kods 03 - Baltijas jūras reģiona stratēģija.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sinerģiju, papildinātību ar ES un citiem atbalsta instrumentiem, piemēram, ar citām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investīcijām un 4.3.6.5.pasākumu "Atbalsta pasākumi bērniem ar uzvedības vai atkarību problēmām un to ģimenēm", norādot, kā tiks nodrošināta demarkācija un dubultfinansējuma riska novēršana gadījumos, kad no dažādiem finanšu avotiem tiks atbalstītas vienas un tās pašas atbalstāmās darbības, piemēram apmācības, vai profilakses pasākumi bērniem.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3.sadaļas 5.1.apakšpunktu, kā arī papildināt šīs sadaļas 6.punktu, norādot ministriju un budžeta apakšprogrammu, kurā tiks plānots finansējums pasākuma ieviešanai.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 sadaļas punktu "Cita informācija" un norādīt Iekšlietu ministrijas iestādi, kura būs projekta īstenotājs un finansējuma saņēmējs.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24-TA-492</w:t>
    </w:r>
    <w:r>
      <w:br/>
    </w:r>
    <w:r w:rsidR="00000000" w:rsidRPr="00000000" w:rsidDel="00000000">
      <w:rPr>
        <w:rtl w:val="0"/>
      </w:rPr>
      <w:t xml:space="preserve">Izdrukāts 15.03.2024. 19.56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24-TA-492</w:t>
    </w:r>
    <w:r>
      <w:br/>
    </w:r>
    <w:r w:rsidR="00000000" w:rsidRPr="00000000" w:rsidDel="00000000">
      <w:rPr>
        <w:rtl w:val="0"/>
      </w:rPr>
      <w:t xml:space="preserve">Izdrukāts 15.03.2024. 19.56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Atzinumi_24-TA-492.docx</dc:title>
</cp:coreProperties>
</file>

<file path=docProps/custom.xml><?xml version="1.0" encoding="utf-8"?>
<Properties xmlns="http://schemas.openxmlformats.org/officeDocument/2006/custom-properties" xmlns:vt="http://schemas.openxmlformats.org/officeDocument/2006/docPropsVTypes"/>
</file>