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DAF" w:rsidRDefault="00786DAF" w:rsidP="002C22B9">
      <w:pPr>
        <w:jc w:val="center"/>
        <w:rPr>
          <w:sz w:val="20"/>
        </w:rPr>
      </w:pPr>
      <w:bookmarkStart w:id="0" w:name="_GoBack"/>
      <w:bookmarkEnd w:id="0"/>
    </w:p>
    <w:p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1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13812">
              <w:rPr>
                <w:szCs w:val="24"/>
              </w:rPr>
              <w:t>27.11.2020</w:t>
            </w:r>
            <w:r w:rsidRPr="00615936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2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D17A23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2"/>
            <w:r w:rsidRPr="00615936">
              <w:rPr>
                <w:szCs w:val="24"/>
              </w:rPr>
              <w:t>/</w:t>
            </w:r>
            <w:bookmarkStart w:id="3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13812">
              <w:rPr>
                <w:szCs w:val="24"/>
              </w:rPr>
              <w:t>6271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</w:tr>
      <w:tr w:rsidR="002C22B9" w:rsidRPr="00615936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4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D17A23">
              <w:rPr>
                <w:szCs w:val="24"/>
              </w:rPr>
              <w:t>12.11.2020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5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D17A23">
              <w:rPr>
                <w:szCs w:val="24"/>
              </w:rPr>
              <w:t>VSS-968, 45  3§</w:t>
            </w:r>
            <w:r w:rsidRPr="00615936">
              <w:rPr>
                <w:szCs w:val="24"/>
              </w:rPr>
              <w:fldChar w:fldCharType="end"/>
            </w:r>
            <w:bookmarkEnd w:id="5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:rsidTr="000C0DD4">
        <w:trPr>
          <w:jc w:val="right"/>
        </w:trPr>
        <w:tc>
          <w:tcPr>
            <w:tcW w:w="4644" w:type="dxa"/>
          </w:tcPr>
          <w:p w:rsidR="008D2B03" w:rsidRDefault="008D2B03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6" w:name="org_nos"/>
          </w:p>
          <w:p w:rsidR="000C0DD4" w:rsidRDefault="00D17A23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Ekonomikas ministrija</w:t>
            </w:r>
            <w:r w:rsidR="008D2B03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6"/>
    </w:tbl>
    <w:p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D2B03" w:rsidRDefault="008D2B03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</w:p>
          <w:p w:rsidR="000C0DD4" w:rsidRDefault="00D17A23" w:rsidP="008D2B03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Ministru kabineta </w:t>
            </w:r>
            <w:r w:rsidR="008D2B03">
              <w:rPr>
                <w:i/>
                <w:iCs/>
                <w:szCs w:val="24"/>
                <w:lang w:eastAsia="lv-LV"/>
              </w:rPr>
              <w:t>noteikumu projektu “</w:t>
            </w:r>
            <w:r>
              <w:rPr>
                <w:i/>
                <w:iCs/>
                <w:szCs w:val="24"/>
                <w:lang w:eastAsia="lv-LV"/>
              </w:rPr>
              <w:t>Grozījumi Ministru kabineta 2014.gada</w:t>
            </w:r>
            <w:r w:rsidR="008D2B03">
              <w:rPr>
                <w:i/>
                <w:iCs/>
                <w:szCs w:val="24"/>
                <w:lang w:eastAsia="lv-LV"/>
              </w:rPr>
              <w:t xml:space="preserve"> 2.septembra noteikumos Nr.529 “Ēku būvnoteikumi””</w:t>
            </w:r>
            <w:r>
              <w:rPr>
                <w:i/>
                <w:iCs/>
                <w:szCs w:val="24"/>
                <w:lang w:eastAsia="lv-LV"/>
              </w:rPr>
              <w:t xml:space="preserve"> VSS-968</w:t>
            </w:r>
          </w:p>
        </w:tc>
      </w:tr>
    </w:tbl>
    <w:p w:rsidR="00E04F00" w:rsidRPr="00615936" w:rsidRDefault="00E04F00" w:rsidP="00C04DED">
      <w:pPr>
        <w:jc w:val="left"/>
        <w:rPr>
          <w:szCs w:val="24"/>
        </w:rPr>
      </w:pPr>
    </w:p>
    <w:p w:rsidR="008D2B03" w:rsidRPr="006F00AC" w:rsidRDefault="008D2B03" w:rsidP="008D2B03">
      <w:pPr>
        <w:ind w:firstLine="720"/>
        <w:rPr>
          <w:rFonts w:eastAsia="Calibri"/>
          <w:szCs w:val="24"/>
          <w:lang w:eastAsia="lv-LV"/>
        </w:rPr>
      </w:pPr>
      <w:r w:rsidRPr="006E247F">
        <w:rPr>
          <w:szCs w:val="24"/>
        </w:rPr>
        <w:t xml:space="preserve">Finanšu ministrija atbilstoši kompetencei ir izskatījusi </w:t>
      </w:r>
      <w:r>
        <w:rPr>
          <w:szCs w:val="24"/>
        </w:rPr>
        <w:t>Ekonomikas</w:t>
      </w:r>
      <w:r w:rsidRPr="00AC1630">
        <w:rPr>
          <w:szCs w:val="24"/>
        </w:rPr>
        <w:t xml:space="preserve"> ministrijas izstrādāto </w:t>
      </w:r>
      <w:r w:rsidRPr="006F00AC">
        <w:rPr>
          <w:rFonts w:eastAsia="Calibri"/>
          <w:szCs w:val="24"/>
          <w:lang w:eastAsia="lv-LV"/>
        </w:rPr>
        <w:t xml:space="preserve">Ministru kabineta noteikumu projektu </w:t>
      </w:r>
      <w:r>
        <w:rPr>
          <w:rFonts w:eastAsia="Calibri"/>
          <w:szCs w:val="24"/>
          <w:lang w:eastAsia="lv-LV"/>
        </w:rPr>
        <w:t>“</w:t>
      </w:r>
      <w:r w:rsidRPr="008A2BB2">
        <w:rPr>
          <w:rFonts w:eastAsia="Calibri"/>
          <w:szCs w:val="24"/>
          <w:lang w:eastAsia="lv-LV"/>
        </w:rPr>
        <w:t>Grozījumi Ministru kabineta 2014.gada 2.septembra noteikumos Nr</w:t>
      </w:r>
      <w:r>
        <w:rPr>
          <w:rFonts w:eastAsia="Calibri"/>
          <w:szCs w:val="24"/>
          <w:lang w:eastAsia="lv-LV"/>
        </w:rPr>
        <w:t>.529 “Ēku būvnoteikumi</w:t>
      </w:r>
      <w:r w:rsidRPr="006F00AC">
        <w:rPr>
          <w:rFonts w:eastAsia="Calibri"/>
          <w:szCs w:val="24"/>
          <w:lang w:eastAsia="lv-LV"/>
        </w:rPr>
        <w:t>””</w:t>
      </w:r>
      <w:r>
        <w:rPr>
          <w:rFonts w:eastAsia="Calibri"/>
          <w:szCs w:val="24"/>
          <w:lang w:eastAsia="lv-LV"/>
        </w:rPr>
        <w:t xml:space="preserve"> (turpmāk – noteikumu projekts)</w:t>
      </w:r>
      <w:r w:rsidRPr="006F00AC">
        <w:rPr>
          <w:rFonts w:eastAsia="Calibri"/>
          <w:szCs w:val="24"/>
          <w:lang w:eastAsia="lv-LV"/>
        </w:rPr>
        <w:t xml:space="preserve">, tā sākotnējās ietekmes </w:t>
      </w:r>
      <w:r>
        <w:rPr>
          <w:rFonts w:eastAsia="Calibri"/>
          <w:szCs w:val="24"/>
          <w:lang w:eastAsia="lv-LV"/>
        </w:rPr>
        <w:t>novērtējuma ziņojumu (anotāciju</w:t>
      </w:r>
      <w:r w:rsidRPr="006F00AC">
        <w:rPr>
          <w:rFonts w:eastAsia="Calibri"/>
          <w:szCs w:val="24"/>
          <w:lang w:eastAsia="lv-LV"/>
        </w:rPr>
        <w:t>) un informē, ka atbalsta to tālāku virzību</w:t>
      </w:r>
      <w:r>
        <w:rPr>
          <w:rFonts w:eastAsia="Calibri"/>
          <w:szCs w:val="24"/>
          <w:lang w:eastAsia="lv-LV"/>
        </w:rPr>
        <w:t>, vienlaikus izsakot šādus</w:t>
      </w:r>
      <w:r w:rsidRPr="006F00AC">
        <w:rPr>
          <w:rFonts w:eastAsia="Calibri"/>
          <w:szCs w:val="24"/>
          <w:lang w:eastAsia="lv-LV"/>
        </w:rPr>
        <w:t xml:space="preserve"> priekšlikumu</w:t>
      </w:r>
      <w:r>
        <w:rPr>
          <w:rFonts w:eastAsia="Calibri"/>
          <w:szCs w:val="24"/>
          <w:lang w:eastAsia="lv-LV"/>
        </w:rPr>
        <w:t>s</w:t>
      </w:r>
      <w:r w:rsidRPr="006F00AC">
        <w:rPr>
          <w:rFonts w:eastAsia="Calibri"/>
          <w:szCs w:val="24"/>
          <w:lang w:eastAsia="lv-LV"/>
        </w:rPr>
        <w:t>.</w:t>
      </w:r>
    </w:p>
    <w:p w:rsidR="008D2B03" w:rsidRPr="00FF69A8" w:rsidRDefault="008D2B03" w:rsidP="008D2B03">
      <w:pPr>
        <w:ind w:firstLine="720"/>
        <w:rPr>
          <w:bCs/>
          <w:szCs w:val="24"/>
          <w:lang w:eastAsia="lv-LV"/>
        </w:rPr>
      </w:pPr>
      <w:r>
        <w:rPr>
          <w:bCs/>
          <w:szCs w:val="24"/>
          <w:lang w:eastAsia="lv-LV"/>
        </w:rPr>
        <w:t>1. Ar n</w:t>
      </w:r>
      <w:r w:rsidRPr="00FF69A8">
        <w:rPr>
          <w:bCs/>
          <w:szCs w:val="24"/>
          <w:lang w:eastAsia="lv-LV"/>
        </w:rPr>
        <w:t xml:space="preserve">oteikumu projektu paredzēts papildināt Ministru kabineta </w:t>
      </w:r>
      <w:r>
        <w:rPr>
          <w:bCs/>
          <w:szCs w:val="24"/>
          <w:lang w:eastAsia="lv-LV"/>
        </w:rPr>
        <w:t>2014.gada 2.septembra noteikumus</w:t>
      </w:r>
      <w:r w:rsidRPr="00FF69A8">
        <w:rPr>
          <w:bCs/>
          <w:szCs w:val="24"/>
          <w:lang w:eastAsia="lv-LV"/>
        </w:rPr>
        <w:t xml:space="preserve"> Nr.529 “Ēku būvnoteikumi”</w:t>
      </w:r>
      <w:r>
        <w:rPr>
          <w:bCs/>
          <w:szCs w:val="24"/>
          <w:lang w:eastAsia="lv-LV"/>
        </w:rPr>
        <w:t xml:space="preserve"> </w:t>
      </w:r>
      <w:r w:rsidRPr="00E32D5D">
        <w:rPr>
          <w:bCs/>
          <w:szCs w:val="24"/>
          <w:lang w:eastAsia="lv-LV"/>
        </w:rPr>
        <w:t>(turpmāk – MK noteikumi Nr.52</w:t>
      </w:r>
      <w:r>
        <w:rPr>
          <w:bCs/>
          <w:szCs w:val="24"/>
          <w:lang w:eastAsia="lv-LV"/>
        </w:rPr>
        <w:t xml:space="preserve">9) </w:t>
      </w:r>
      <w:r w:rsidRPr="00FF69A8">
        <w:rPr>
          <w:bCs/>
          <w:szCs w:val="24"/>
          <w:lang w:eastAsia="lv-LV"/>
        </w:rPr>
        <w:t>ar terminu daļu, sniedzot definīcijas terminiem “</w:t>
      </w:r>
      <w:r w:rsidRPr="00FF69A8">
        <w:rPr>
          <w:rFonts w:eastAsia="Calibri"/>
          <w:szCs w:val="24"/>
        </w:rPr>
        <w:t>vienkāršota atjaunošana”; “vienkāršota pārbūve” “sezonas ēka”; “darbu organizēšanas shēma”</w:t>
      </w:r>
      <w:r w:rsidRPr="00FF69A8">
        <w:rPr>
          <w:bCs/>
          <w:szCs w:val="24"/>
          <w:lang w:eastAsia="lv-LV"/>
        </w:rPr>
        <w:t>. Vēršam uzmanību, ka attiecībā uz būvdarbu veidiem definīcijas šobrīd ir sniegtas Būvniecības likumā. Lai nodrošinātu, ka terminu definīcijas ir atrodamas pēc iespējas vienuviet, ierosinām, terminus “</w:t>
      </w:r>
      <w:r w:rsidRPr="00FF69A8">
        <w:rPr>
          <w:rFonts w:eastAsia="Calibri"/>
          <w:szCs w:val="24"/>
        </w:rPr>
        <w:t xml:space="preserve">vienkāršota atjaunošana”; “vienkāršota pārbūve” iekļaut Būvniecības likumā, ņemot vērā, ka likumā jau ir iekļauta </w:t>
      </w:r>
      <w:r w:rsidRPr="00FF69A8">
        <w:rPr>
          <w:bCs/>
          <w:szCs w:val="24"/>
          <w:lang w:eastAsia="lv-LV"/>
        </w:rPr>
        <w:t xml:space="preserve">būves atjaunošanas definīcija. Savukārt, terminus </w:t>
      </w:r>
      <w:r w:rsidRPr="00FF69A8">
        <w:rPr>
          <w:rFonts w:eastAsia="Calibri"/>
          <w:szCs w:val="24"/>
        </w:rPr>
        <w:t xml:space="preserve">“sezonas ēka” un “darbu organizēšanas shēma” ierosinām iekļaut </w:t>
      </w:r>
      <w:r w:rsidRPr="00FF69A8">
        <w:rPr>
          <w:bCs/>
          <w:szCs w:val="24"/>
          <w:lang w:eastAsia="lv-LV"/>
        </w:rPr>
        <w:t xml:space="preserve">Ministru kabineta 2014.gada 19.augusta noteikumos Nr.500 “Vispārīgie būvnoteikumi”, </w:t>
      </w:r>
      <w:r w:rsidRPr="00FF69A8">
        <w:rPr>
          <w:rFonts w:eastAsia="Calibri"/>
          <w:szCs w:val="24"/>
        </w:rPr>
        <w:t>jo minētie noteikumi jau definē terminus “pagaidu būve”, “</w:t>
      </w:r>
      <w:proofErr w:type="spellStart"/>
      <w:r w:rsidRPr="00FF69A8">
        <w:rPr>
          <w:rFonts w:eastAsia="Calibri"/>
          <w:szCs w:val="24"/>
        </w:rPr>
        <w:t>mazēka</w:t>
      </w:r>
      <w:proofErr w:type="spellEnd"/>
      <w:r w:rsidRPr="00FF69A8">
        <w:rPr>
          <w:rFonts w:eastAsia="Calibri"/>
          <w:szCs w:val="24"/>
        </w:rPr>
        <w:t>”, “īslaicīgās lietošanas būve”, kā arī noteikumos ir iekļauti virkne citu terminu.</w:t>
      </w:r>
    </w:p>
    <w:p w:rsidR="008D2B03" w:rsidRPr="00FF69A8" w:rsidRDefault="008D2B03" w:rsidP="008D2B03">
      <w:pPr>
        <w:ind w:firstLine="720"/>
        <w:rPr>
          <w:bCs/>
          <w:szCs w:val="24"/>
          <w:lang w:eastAsia="lv-LV"/>
        </w:rPr>
      </w:pPr>
      <w:r w:rsidRPr="00FF69A8">
        <w:rPr>
          <w:kern w:val="1"/>
          <w:szCs w:val="24"/>
        </w:rPr>
        <w:t>2. </w:t>
      </w:r>
      <w:r>
        <w:rPr>
          <w:rFonts w:eastAsia="Calibri"/>
          <w:szCs w:val="24"/>
        </w:rPr>
        <w:t>Lūdzam n</w:t>
      </w:r>
      <w:r w:rsidRPr="00FF69A8">
        <w:rPr>
          <w:rFonts w:eastAsia="Calibri"/>
          <w:szCs w:val="24"/>
        </w:rPr>
        <w:t>oteikumu projekta 1.10.</w:t>
      </w:r>
      <w:r>
        <w:rPr>
          <w:rFonts w:eastAsia="Calibri"/>
          <w:szCs w:val="24"/>
        </w:rPr>
        <w:t>apakš</w:t>
      </w:r>
      <w:r w:rsidRPr="00FF69A8">
        <w:rPr>
          <w:rFonts w:eastAsia="Calibri"/>
          <w:szCs w:val="24"/>
        </w:rPr>
        <w:t xml:space="preserve">punktā </w:t>
      </w:r>
      <w:r>
        <w:rPr>
          <w:rFonts w:eastAsia="Calibri"/>
          <w:szCs w:val="24"/>
        </w:rPr>
        <w:t>vārdu “karte” aizstāt ar vārdu</w:t>
      </w:r>
      <w:r w:rsidRPr="00FF69A8">
        <w:rPr>
          <w:rFonts w:eastAsia="Calibri"/>
          <w:szCs w:val="24"/>
        </w:rPr>
        <w:t xml:space="preserve"> ”karti”. </w:t>
      </w:r>
    </w:p>
    <w:p w:rsidR="008D2B03" w:rsidRPr="00FF69A8" w:rsidRDefault="008D2B03" w:rsidP="008D2B03">
      <w:pPr>
        <w:ind w:firstLine="720"/>
        <w:rPr>
          <w:bCs/>
          <w:szCs w:val="24"/>
          <w:lang w:eastAsia="lv-LV"/>
        </w:rPr>
      </w:pPr>
      <w:r w:rsidRPr="00FF69A8">
        <w:rPr>
          <w:rFonts w:eastAsia="Calibri"/>
          <w:szCs w:val="24"/>
          <w:shd w:val="clear" w:color="auto" w:fill="FFFFFF"/>
        </w:rPr>
        <w:t>3.</w:t>
      </w:r>
      <w:r w:rsidRPr="00FF69A8">
        <w:rPr>
          <w:rFonts w:ascii="Calibri" w:eastAsia="Calibri" w:hAnsi="Calibri"/>
          <w:sz w:val="28"/>
          <w:szCs w:val="28"/>
          <w:shd w:val="clear" w:color="auto" w:fill="FFFFFF"/>
        </w:rPr>
        <w:t> </w:t>
      </w:r>
      <w:r w:rsidRPr="00FF69A8">
        <w:rPr>
          <w:rFonts w:eastAsia="Calibri"/>
          <w:szCs w:val="24"/>
          <w:shd w:val="clear" w:color="auto" w:fill="FFFFFF"/>
        </w:rPr>
        <w:t xml:space="preserve">Noteikumu projekta 1.16. </w:t>
      </w:r>
      <w:r>
        <w:rPr>
          <w:rFonts w:eastAsia="Calibri"/>
          <w:szCs w:val="24"/>
          <w:shd w:val="clear" w:color="auto" w:fill="FFFFFF"/>
        </w:rPr>
        <w:t>apakš</w:t>
      </w:r>
      <w:r w:rsidRPr="00FF69A8">
        <w:rPr>
          <w:rFonts w:eastAsia="Calibri"/>
          <w:szCs w:val="24"/>
          <w:shd w:val="clear" w:color="auto" w:fill="FFFFFF"/>
        </w:rPr>
        <w:t xml:space="preserve">punkts paredz papildināt </w:t>
      </w:r>
      <w:r>
        <w:rPr>
          <w:rFonts w:eastAsia="Calibri"/>
          <w:szCs w:val="24"/>
          <w:shd w:val="clear" w:color="auto" w:fill="FFFFFF"/>
        </w:rPr>
        <w:t>MK noteikumus Nr.529</w:t>
      </w:r>
      <w:r w:rsidRPr="00FF69A8">
        <w:rPr>
          <w:rFonts w:eastAsia="Calibri"/>
          <w:szCs w:val="24"/>
          <w:shd w:val="clear" w:color="auto" w:fill="FFFFFF"/>
        </w:rPr>
        <w:t xml:space="preserve"> ar jaunu apakšnodaļu, “Projektēšanas pamatnes”, kura</w:t>
      </w:r>
      <w:r>
        <w:rPr>
          <w:rFonts w:eastAsia="Calibri"/>
          <w:szCs w:val="24"/>
          <w:shd w:val="clear" w:color="auto" w:fill="FFFFFF"/>
        </w:rPr>
        <w:t>s</w:t>
      </w:r>
      <w:r w:rsidRPr="00FF69A8">
        <w:rPr>
          <w:rFonts w:eastAsia="Calibri"/>
          <w:szCs w:val="24"/>
          <w:shd w:val="clear" w:color="auto" w:fill="FFFFFF"/>
        </w:rPr>
        <w:t xml:space="preserve"> 21.</w:t>
      </w:r>
      <w:r w:rsidRPr="00FF69A8">
        <w:rPr>
          <w:rFonts w:eastAsia="Calibri"/>
          <w:szCs w:val="24"/>
          <w:shd w:val="clear" w:color="auto" w:fill="FFFFFF"/>
          <w:vertAlign w:val="superscript"/>
        </w:rPr>
        <w:t>3</w:t>
      </w:r>
      <w:r w:rsidRPr="00FF69A8">
        <w:rPr>
          <w:rFonts w:eastAsia="Calibri"/>
          <w:szCs w:val="24"/>
          <w:shd w:val="clear" w:color="auto" w:fill="FFFFFF"/>
        </w:rPr>
        <w:t xml:space="preserve"> punktā ir sniegts būvju situācijas plāna definējums. Norādām, ka </w:t>
      </w:r>
      <w:r w:rsidRPr="00FF69A8">
        <w:rPr>
          <w:szCs w:val="24"/>
          <w:lang w:eastAsia="lv-LV"/>
        </w:rPr>
        <w:t xml:space="preserve">Ministru kabineta 2017.gada 9.maija noteikumos Nr. 253 “Atsevišķu inženierbūvju būvnoteikumi” (turpmāk – </w:t>
      </w:r>
      <w:r>
        <w:rPr>
          <w:szCs w:val="24"/>
          <w:lang w:eastAsia="lv-LV"/>
        </w:rPr>
        <w:t>MK n</w:t>
      </w:r>
      <w:r w:rsidRPr="00FF69A8">
        <w:rPr>
          <w:szCs w:val="24"/>
          <w:lang w:eastAsia="lv-LV"/>
        </w:rPr>
        <w:t>oteikumi Nr.253) 19.punktā ir sniegt</w:t>
      </w:r>
      <w:r>
        <w:rPr>
          <w:szCs w:val="24"/>
          <w:lang w:eastAsia="lv-LV"/>
        </w:rPr>
        <w:t>s identisks skaidrojums. Tāpat n</w:t>
      </w:r>
      <w:r w:rsidRPr="00FF69A8">
        <w:rPr>
          <w:szCs w:val="24"/>
          <w:lang w:eastAsia="lv-LV"/>
        </w:rPr>
        <w:t>oteikumu projekta</w:t>
      </w:r>
      <w:r w:rsidRPr="00FF69A8">
        <w:rPr>
          <w:b/>
          <w:bCs/>
          <w:szCs w:val="24"/>
          <w:lang w:eastAsia="lv-LV"/>
        </w:rPr>
        <w:t xml:space="preserve"> </w:t>
      </w:r>
      <w:r w:rsidRPr="00FF69A8">
        <w:rPr>
          <w:szCs w:val="24"/>
          <w:shd w:val="clear" w:color="auto" w:fill="FFFFFF"/>
        </w:rPr>
        <w:t>21.</w:t>
      </w:r>
      <w:r w:rsidRPr="00FF69A8">
        <w:rPr>
          <w:szCs w:val="24"/>
          <w:shd w:val="clear" w:color="auto" w:fill="FFFFFF"/>
          <w:vertAlign w:val="superscript"/>
        </w:rPr>
        <w:t>4</w:t>
      </w:r>
      <w:r w:rsidRPr="00FF69A8">
        <w:rPr>
          <w:szCs w:val="24"/>
          <w:shd w:val="clear" w:color="auto" w:fill="FFFFFF"/>
        </w:rPr>
        <w:t> , 21.</w:t>
      </w:r>
      <w:r w:rsidRPr="00FF69A8">
        <w:rPr>
          <w:szCs w:val="24"/>
          <w:shd w:val="clear" w:color="auto" w:fill="FFFFFF"/>
          <w:vertAlign w:val="superscript"/>
        </w:rPr>
        <w:t>6</w:t>
      </w:r>
      <w:r w:rsidRPr="00FF69A8">
        <w:rPr>
          <w:szCs w:val="24"/>
          <w:shd w:val="clear" w:color="auto" w:fill="FFFFFF"/>
        </w:rPr>
        <w:t xml:space="preserve"> , </w:t>
      </w:r>
      <w:r w:rsidRPr="00FF69A8">
        <w:rPr>
          <w:rFonts w:eastAsia="Calibri"/>
          <w:szCs w:val="24"/>
          <w:shd w:val="clear" w:color="auto" w:fill="FFFFFF"/>
        </w:rPr>
        <w:t>21.</w:t>
      </w:r>
      <w:r w:rsidRPr="00FF69A8">
        <w:rPr>
          <w:rFonts w:eastAsia="Calibri"/>
          <w:szCs w:val="24"/>
          <w:shd w:val="clear" w:color="auto" w:fill="FFFFFF"/>
          <w:vertAlign w:val="superscript"/>
        </w:rPr>
        <w:t>8</w:t>
      </w:r>
      <w:r w:rsidRPr="00FF69A8">
        <w:rPr>
          <w:rFonts w:eastAsia="Calibri"/>
          <w:szCs w:val="24"/>
          <w:shd w:val="clear" w:color="auto" w:fill="FFFFFF"/>
        </w:rPr>
        <w:t> ; 21.</w:t>
      </w:r>
      <w:r w:rsidRPr="00FF69A8">
        <w:rPr>
          <w:rFonts w:eastAsia="Calibri"/>
          <w:szCs w:val="24"/>
          <w:shd w:val="clear" w:color="auto" w:fill="FFFFFF"/>
          <w:vertAlign w:val="superscript"/>
        </w:rPr>
        <w:t>9</w:t>
      </w:r>
      <w:r w:rsidRPr="00FF69A8">
        <w:rPr>
          <w:rFonts w:eastAsia="Calibri"/>
          <w:szCs w:val="24"/>
          <w:shd w:val="clear" w:color="auto" w:fill="FFFFFF"/>
        </w:rPr>
        <w:t> , 21.</w:t>
      </w:r>
      <w:r w:rsidRPr="00FF69A8">
        <w:rPr>
          <w:rFonts w:eastAsia="Calibri"/>
          <w:szCs w:val="24"/>
          <w:shd w:val="clear" w:color="auto" w:fill="FFFFFF"/>
          <w:vertAlign w:val="superscript"/>
        </w:rPr>
        <w:t>10</w:t>
      </w:r>
      <w:r w:rsidRPr="00FF69A8">
        <w:rPr>
          <w:rFonts w:eastAsia="Calibri"/>
          <w:szCs w:val="24"/>
          <w:shd w:val="clear" w:color="auto" w:fill="FFFFFF"/>
        </w:rPr>
        <w:t> , 21.</w:t>
      </w:r>
      <w:r w:rsidRPr="00FF69A8">
        <w:rPr>
          <w:rFonts w:eastAsia="Calibri"/>
          <w:szCs w:val="24"/>
          <w:shd w:val="clear" w:color="auto" w:fill="FFFFFF"/>
          <w:vertAlign w:val="superscript"/>
        </w:rPr>
        <w:t>11</w:t>
      </w:r>
      <w:r w:rsidRPr="00FF69A8">
        <w:rPr>
          <w:rFonts w:eastAsia="Calibri"/>
          <w:szCs w:val="24"/>
          <w:shd w:val="clear" w:color="auto" w:fill="FFFFFF"/>
        </w:rPr>
        <w:t xml:space="preserve"> punkti dublējas ar </w:t>
      </w:r>
      <w:r>
        <w:rPr>
          <w:rFonts w:eastAsia="Calibri"/>
          <w:szCs w:val="24"/>
          <w:shd w:val="clear" w:color="auto" w:fill="FFFFFF"/>
        </w:rPr>
        <w:t>MK n</w:t>
      </w:r>
      <w:r w:rsidRPr="00FF69A8">
        <w:rPr>
          <w:szCs w:val="24"/>
          <w:lang w:eastAsia="lv-LV"/>
        </w:rPr>
        <w:t>oteikumos Nr.253 noteikto regulējumu</w:t>
      </w:r>
      <w:r w:rsidRPr="00FF69A8">
        <w:rPr>
          <w:rFonts w:eastAsia="Calibri"/>
          <w:szCs w:val="24"/>
        </w:rPr>
        <w:t xml:space="preserve">, līdz ar to ir secināms, ka tās tiek pārņemtas no </w:t>
      </w:r>
      <w:r>
        <w:rPr>
          <w:rFonts w:eastAsia="Calibri"/>
          <w:szCs w:val="24"/>
        </w:rPr>
        <w:t>MK noteikumiem Nr.253. Lūdzam n</w:t>
      </w:r>
      <w:r w:rsidRPr="00FF69A8">
        <w:rPr>
          <w:rFonts w:eastAsia="Calibri"/>
          <w:szCs w:val="24"/>
        </w:rPr>
        <w:t xml:space="preserve">oteikumu projekta anotācijā skaidrot nepieciešamību dublēt </w:t>
      </w:r>
      <w:r>
        <w:rPr>
          <w:rFonts w:eastAsia="Calibri"/>
          <w:szCs w:val="24"/>
        </w:rPr>
        <w:t>MK n</w:t>
      </w:r>
      <w:r w:rsidRPr="00FF69A8">
        <w:rPr>
          <w:rFonts w:eastAsia="Calibri"/>
          <w:szCs w:val="24"/>
        </w:rPr>
        <w:t>oteikumos Nr.253 minētās normas.</w:t>
      </w:r>
    </w:p>
    <w:p w:rsidR="008D2B03" w:rsidRPr="00FF69A8" w:rsidRDefault="008D2B03" w:rsidP="008D2B03">
      <w:pPr>
        <w:shd w:val="clear" w:color="auto" w:fill="FFFFFF"/>
        <w:ind w:firstLine="720"/>
        <w:rPr>
          <w:kern w:val="1"/>
          <w:szCs w:val="24"/>
          <w:lang w:eastAsia="lv-LV"/>
        </w:rPr>
      </w:pPr>
      <w:r w:rsidRPr="00FF69A8">
        <w:rPr>
          <w:kern w:val="1"/>
          <w:szCs w:val="24"/>
          <w:lang w:eastAsia="lv-LV"/>
        </w:rPr>
        <w:t>4. Lai nodrošinātu tiesisko skaidrību un viennozīmīgu būtu saprotams,</w:t>
      </w:r>
      <w:r w:rsidRPr="00FF69A8">
        <w:rPr>
          <w:szCs w:val="24"/>
          <w:lang w:eastAsia="lv-LV"/>
        </w:rPr>
        <w:t xml:space="preserve"> </w:t>
      </w:r>
      <w:r w:rsidRPr="00FF69A8">
        <w:rPr>
          <w:kern w:val="1"/>
          <w:szCs w:val="24"/>
          <w:lang w:eastAsia="lv-LV"/>
        </w:rPr>
        <w:t xml:space="preserve">ka būvdarbus var uzsākt pēc tam, kad ir iesniegts paziņojums būvniecības informācijas sistēmā, lūdzam </w:t>
      </w:r>
      <w:r>
        <w:rPr>
          <w:kern w:val="1"/>
          <w:szCs w:val="24"/>
          <w:lang w:eastAsia="lv-LV"/>
        </w:rPr>
        <w:t>n</w:t>
      </w:r>
      <w:r w:rsidRPr="00FF69A8">
        <w:rPr>
          <w:kern w:val="1"/>
          <w:szCs w:val="24"/>
          <w:lang w:eastAsia="lv-LV"/>
        </w:rPr>
        <w:t>oteikumu projekta 1.20.</w:t>
      </w:r>
      <w:r>
        <w:rPr>
          <w:kern w:val="1"/>
          <w:szCs w:val="24"/>
          <w:lang w:eastAsia="lv-LV"/>
        </w:rPr>
        <w:t>apakš</w:t>
      </w:r>
      <w:r w:rsidRPr="00FF69A8">
        <w:rPr>
          <w:kern w:val="1"/>
          <w:szCs w:val="24"/>
          <w:lang w:eastAsia="lv-LV"/>
        </w:rPr>
        <w:t>punktā 46.</w:t>
      </w:r>
      <w:r w:rsidRPr="00FF69A8">
        <w:rPr>
          <w:kern w:val="1"/>
          <w:szCs w:val="24"/>
          <w:vertAlign w:val="superscript"/>
          <w:lang w:eastAsia="lv-LV"/>
        </w:rPr>
        <w:t>1</w:t>
      </w:r>
      <w:r w:rsidRPr="00FF69A8">
        <w:rPr>
          <w:kern w:val="1"/>
          <w:szCs w:val="24"/>
          <w:lang w:eastAsia="lv-LV"/>
        </w:rPr>
        <w:t> punkta pirmo teikumu izteikt šādā redakcijā:</w:t>
      </w:r>
    </w:p>
    <w:p w:rsidR="008D2B03" w:rsidRPr="00FF69A8" w:rsidRDefault="008D2B03" w:rsidP="008D2B03">
      <w:pPr>
        <w:widowControl w:val="0"/>
        <w:suppressAutoHyphens/>
        <w:ind w:firstLine="720"/>
        <w:rPr>
          <w:kern w:val="1"/>
          <w:szCs w:val="24"/>
        </w:rPr>
      </w:pPr>
      <w:r w:rsidRPr="00FF69A8">
        <w:rPr>
          <w:kern w:val="1"/>
          <w:szCs w:val="24"/>
        </w:rPr>
        <w:lastRenderedPageBreak/>
        <w:t>“46.</w:t>
      </w:r>
      <w:r w:rsidRPr="00FF69A8">
        <w:rPr>
          <w:kern w:val="1"/>
          <w:szCs w:val="24"/>
          <w:vertAlign w:val="superscript"/>
        </w:rPr>
        <w:t>1</w:t>
      </w:r>
      <w:r w:rsidRPr="00FF69A8">
        <w:rPr>
          <w:kern w:val="1"/>
          <w:szCs w:val="24"/>
        </w:rPr>
        <w:t xml:space="preserve"> </w:t>
      </w:r>
      <w:r w:rsidRPr="00FF69A8">
        <w:rPr>
          <w:i/>
          <w:iCs/>
          <w:kern w:val="1"/>
          <w:szCs w:val="24"/>
        </w:rPr>
        <w:t>Šo noteikumu 7.</w:t>
      </w:r>
      <w:r w:rsidRPr="00FF69A8">
        <w:rPr>
          <w:i/>
          <w:iCs/>
          <w:kern w:val="1"/>
          <w:szCs w:val="24"/>
          <w:vertAlign w:val="superscript"/>
        </w:rPr>
        <w:t>1</w:t>
      </w:r>
      <w:r w:rsidRPr="00FF69A8">
        <w:rPr>
          <w:i/>
          <w:iCs/>
          <w:kern w:val="1"/>
          <w:szCs w:val="24"/>
        </w:rPr>
        <w:t xml:space="preserve"> punktā minētos būvdarbus būvniecības ierosinātājs ir tiesīgs uzsākt pēc paziņojuma par būvniecību iesniegšanas būvniecības informācijas sistēmā.” </w:t>
      </w:r>
    </w:p>
    <w:p w:rsidR="008D2B03" w:rsidRPr="00FF69A8" w:rsidRDefault="008D2B03" w:rsidP="008D2B03">
      <w:pPr>
        <w:widowControl w:val="0"/>
        <w:suppressAutoHyphens/>
        <w:ind w:firstLine="720"/>
        <w:rPr>
          <w:kern w:val="1"/>
          <w:szCs w:val="24"/>
        </w:rPr>
      </w:pPr>
      <w:r w:rsidRPr="00FF69A8">
        <w:rPr>
          <w:kern w:val="1"/>
          <w:szCs w:val="24"/>
        </w:rPr>
        <w:t xml:space="preserve">Papildus lūdzam izvērtēt, vai </w:t>
      </w:r>
      <w:r>
        <w:rPr>
          <w:kern w:val="1"/>
          <w:szCs w:val="24"/>
        </w:rPr>
        <w:t xml:space="preserve">attiecīgais </w:t>
      </w:r>
      <w:r w:rsidRPr="00FF69A8">
        <w:rPr>
          <w:kern w:val="1"/>
          <w:szCs w:val="24"/>
        </w:rPr>
        <w:t>46.</w:t>
      </w:r>
      <w:r w:rsidRPr="00FF69A8">
        <w:rPr>
          <w:kern w:val="1"/>
          <w:szCs w:val="24"/>
          <w:vertAlign w:val="superscript"/>
        </w:rPr>
        <w:t>1 </w:t>
      </w:r>
      <w:r w:rsidRPr="00FF69A8">
        <w:rPr>
          <w:kern w:val="1"/>
          <w:szCs w:val="24"/>
        </w:rPr>
        <w:t xml:space="preserve">punkta regulējums nav jāiekļauj pie </w:t>
      </w:r>
      <w:r>
        <w:rPr>
          <w:kern w:val="1"/>
          <w:szCs w:val="24"/>
        </w:rPr>
        <w:t xml:space="preserve">MK noteikumu </w:t>
      </w:r>
      <w:r w:rsidRPr="0033774C">
        <w:rPr>
          <w:kern w:val="1"/>
          <w:szCs w:val="24"/>
        </w:rPr>
        <w:t>Nr.529</w:t>
      </w:r>
      <w:r w:rsidRPr="00FF69A8">
        <w:rPr>
          <w:kern w:val="1"/>
          <w:szCs w:val="24"/>
        </w:rPr>
        <w:t xml:space="preserve"> 108.punkta, ievērojot to, ka </w:t>
      </w:r>
      <w:r>
        <w:rPr>
          <w:kern w:val="1"/>
          <w:szCs w:val="24"/>
        </w:rPr>
        <w:t>MK noteikumu</w:t>
      </w:r>
      <w:r w:rsidRPr="0033774C">
        <w:rPr>
          <w:kern w:val="1"/>
          <w:szCs w:val="24"/>
        </w:rPr>
        <w:t xml:space="preserve"> Nr.529</w:t>
      </w:r>
      <w:r>
        <w:rPr>
          <w:kern w:val="1"/>
          <w:szCs w:val="24"/>
        </w:rPr>
        <w:t xml:space="preserve"> </w:t>
      </w:r>
      <w:r w:rsidRPr="00FF69A8">
        <w:rPr>
          <w:kern w:val="1"/>
          <w:szCs w:val="24"/>
        </w:rPr>
        <w:t>108.punkts nosaka, kad ir uzsākama būvdarbu sagatavošana būvatļaujas gadījumā un paskaidrojuma raksta gadījumā.</w:t>
      </w:r>
    </w:p>
    <w:p w:rsidR="008D2B03" w:rsidRPr="00FF69A8" w:rsidRDefault="008D2B03" w:rsidP="008D2B03">
      <w:pPr>
        <w:ind w:firstLine="720"/>
        <w:contextualSpacing/>
        <w:rPr>
          <w:kern w:val="1"/>
          <w:szCs w:val="24"/>
        </w:rPr>
      </w:pPr>
      <w:r>
        <w:rPr>
          <w:kern w:val="1"/>
          <w:szCs w:val="24"/>
        </w:rPr>
        <w:t>5. Lūdzam n</w:t>
      </w:r>
      <w:r w:rsidRPr="00FF69A8">
        <w:rPr>
          <w:kern w:val="1"/>
          <w:szCs w:val="24"/>
        </w:rPr>
        <w:t xml:space="preserve">oteikumu projekta anotācijā skaidrot, kādēļ no </w:t>
      </w:r>
      <w:r>
        <w:rPr>
          <w:kern w:val="1"/>
          <w:szCs w:val="24"/>
        </w:rPr>
        <w:t>MK noteikumu</w:t>
      </w:r>
      <w:r w:rsidRPr="00A5237C">
        <w:rPr>
          <w:kern w:val="1"/>
          <w:szCs w:val="24"/>
        </w:rPr>
        <w:t xml:space="preserve"> Nr.529</w:t>
      </w:r>
      <w:r>
        <w:rPr>
          <w:kern w:val="1"/>
          <w:szCs w:val="24"/>
        </w:rPr>
        <w:t xml:space="preserve"> </w:t>
      </w:r>
      <w:r w:rsidRPr="00FF69A8">
        <w:rPr>
          <w:kern w:val="1"/>
          <w:szCs w:val="24"/>
        </w:rPr>
        <w:t>53. punkta tiek svītroti vārdi “</w:t>
      </w:r>
      <w:r w:rsidRPr="00FF69A8">
        <w:rPr>
          <w:i/>
          <w:iCs/>
          <w:kern w:val="1"/>
          <w:szCs w:val="24"/>
        </w:rPr>
        <w:t>izņemot gadījumu, ja plānotajai saimnieciskajai darbībai citas jomas normatīvajos aktos ir izvirzītas specifiskas prasības šīs darbības veikšanai</w:t>
      </w:r>
      <w:r w:rsidRPr="00FF69A8">
        <w:rPr>
          <w:kern w:val="1"/>
          <w:szCs w:val="24"/>
        </w:rPr>
        <w:t>”. Vienlai</w:t>
      </w:r>
      <w:r>
        <w:rPr>
          <w:kern w:val="1"/>
          <w:szCs w:val="24"/>
        </w:rPr>
        <w:t>kus lūdzam n</w:t>
      </w:r>
      <w:r w:rsidRPr="00FF69A8">
        <w:rPr>
          <w:kern w:val="1"/>
          <w:szCs w:val="24"/>
        </w:rPr>
        <w:t xml:space="preserve">oteikumu projekta anotācijā iekļaut pamatojumu 117.punkta, 191.punkta un 226.punkta svītrošanai no </w:t>
      </w:r>
      <w:r w:rsidRPr="00A5237C">
        <w:rPr>
          <w:kern w:val="1"/>
          <w:szCs w:val="24"/>
        </w:rPr>
        <w:t>MK noteikumi</w:t>
      </w:r>
      <w:r>
        <w:rPr>
          <w:kern w:val="1"/>
          <w:szCs w:val="24"/>
        </w:rPr>
        <w:t>em</w:t>
      </w:r>
      <w:r w:rsidRPr="00A5237C">
        <w:rPr>
          <w:kern w:val="1"/>
          <w:szCs w:val="24"/>
        </w:rPr>
        <w:t xml:space="preserve"> Nr.529</w:t>
      </w:r>
      <w:r w:rsidRPr="00FF69A8">
        <w:rPr>
          <w:kern w:val="1"/>
          <w:szCs w:val="24"/>
        </w:rPr>
        <w:t>.</w:t>
      </w:r>
    </w:p>
    <w:p w:rsidR="008D2B03" w:rsidRPr="00575889" w:rsidRDefault="008D2B03" w:rsidP="008D2B03">
      <w:pPr>
        <w:ind w:firstLine="720"/>
        <w:rPr>
          <w:rFonts w:eastAsia="Calibri"/>
          <w:szCs w:val="22"/>
        </w:rPr>
      </w:pPr>
    </w:p>
    <w:p w:rsidR="00557B49" w:rsidRPr="00615936" w:rsidRDefault="00557B49" w:rsidP="007F3771">
      <w:pPr>
        <w:rPr>
          <w:szCs w:val="24"/>
        </w:rPr>
      </w:pPr>
    </w:p>
    <w:p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:rsidTr="00AA6DC1">
        <w:tc>
          <w:tcPr>
            <w:tcW w:w="4395" w:type="dxa"/>
          </w:tcPr>
          <w:p w:rsidR="00AA6DC1" w:rsidRPr="00615936" w:rsidRDefault="00D17A23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:rsidR="00AA6DC1" w:rsidRDefault="00AA6DC1" w:rsidP="00AA6DC1">
            <w:pPr>
              <w:jc w:val="center"/>
              <w:rPr>
                <w:szCs w:val="24"/>
              </w:rPr>
            </w:pPr>
            <w:bookmarkStart w:id="7" w:name="edoc_info2"/>
            <w:r>
              <w:rPr>
                <w:szCs w:val="24"/>
              </w:rPr>
              <w:t>(paraksts*)</w:t>
            </w:r>
            <w:bookmarkEnd w:id="7"/>
          </w:p>
        </w:tc>
        <w:tc>
          <w:tcPr>
            <w:tcW w:w="2977" w:type="dxa"/>
            <w:vAlign w:val="bottom"/>
          </w:tcPr>
          <w:p w:rsidR="00AA6DC1" w:rsidRPr="00615936" w:rsidRDefault="00D17A23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AA6DC1" w:rsidRPr="00615936" w:rsidTr="00AA6DC1">
        <w:tc>
          <w:tcPr>
            <w:tcW w:w="4395" w:type="dxa"/>
          </w:tcPr>
          <w:p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:rsidTr="00AA6DC1">
        <w:trPr>
          <w:cantSplit/>
          <w:trHeight w:val="615"/>
        </w:trPr>
        <w:tc>
          <w:tcPr>
            <w:tcW w:w="8647" w:type="dxa"/>
          </w:tcPr>
          <w:p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8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8"/>
    </w:tbl>
    <w:p w:rsidR="00826D51" w:rsidRDefault="00826D51" w:rsidP="007F3771">
      <w:pPr>
        <w:rPr>
          <w:sz w:val="20"/>
        </w:rPr>
      </w:pPr>
    </w:p>
    <w:p w:rsidR="008D2B03" w:rsidRPr="00CA1E89" w:rsidRDefault="008D2B03" w:rsidP="008D2B03">
      <w:pPr>
        <w:rPr>
          <w:sz w:val="20"/>
        </w:rPr>
      </w:pPr>
      <w:proofErr w:type="spellStart"/>
      <w:r w:rsidRPr="00CA1E89">
        <w:rPr>
          <w:sz w:val="20"/>
        </w:rPr>
        <w:t>Aperčoje</w:t>
      </w:r>
      <w:proofErr w:type="spellEnd"/>
      <w:r w:rsidRPr="00CA1E89">
        <w:rPr>
          <w:sz w:val="20"/>
        </w:rPr>
        <w:t xml:space="preserve">  67095451</w:t>
      </w:r>
    </w:p>
    <w:p w:rsidR="008D2B03" w:rsidRDefault="00B54E48" w:rsidP="008D2B03">
      <w:pPr>
        <w:rPr>
          <w:rStyle w:val="Hyperlink"/>
          <w:sz w:val="20"/>
        </w:rPr>
      </w:pPr>
      <w:hyperlink r:id="rId7" w:history="1">
        <w:r w:rsidR="008D2B03" w:rsidRPr="00CA1E89">
          <w:rPr>
            <w:rStyle w:val="Hyperlink"/>
            <w:sz w:val="20"/>
          </w:rPr>
          <w:t>andzela.apercoje@fm.gov.lv</w:t>
        </w:r>
      </w:hyperlink>
    </w:p>
    <w:p w:rsidR="008D2B03" w:rsidRDefault="008D2B03" w:rsidP="008D2B03">
      <w:pPr>
        <w:rPr>
          <w:rStyle w:val="Hyperlink"/>
          <w:sz w:val="20"/>
        </w:rPr>
      </w:pPr>
    </w:p>
    <w:p w:rsidR="008D2B03" w:rsidRDefault="008D2B03" w:rsidP="008D2B03">
      <w:pPr>
        <w:rPr>
          <w:sz w:val="20"/>
        </w:rPr>
      </w:pPr>
      <w:proofErr w:type="spellStart"/>
      <w:r>
        <w:rPr>
          <w:sz w:val="20"/>
        </w:rPr>
        <w:t>Pizāne</w:t>
      </w:r>
      <w:proofErr w:type="spellEnd"/>
      <w:r>
        <w:rPr>
          <w:sz w:val="20"/>
        </w:rPr>
        <w:t xml:space="preserve"> 27862091</w:t>
      </w:r>
    </w:p>
    <w:p w:rsidR="008D2B03" w:rsidRPr="00BA6B61" w:rsidRDefault="00B54E48" w:rsidP="008D2B03">
      <w:pPr>
        <w:rPr>
          <w:sz w:val="20"/>
        </w:rPr>
      </w:pPr>
      <w:hyperlink r:id="rId8" w:history="1">
        <w:r w:rsidR="008D2B03" w:rsidRPr="009B72AA">
          <w:rPr>
            <w:rStyle w:val="Hyperlink"/>
            <w:sz w:val="20"/>
          </w:rPr>
          <w:t>Inese.Pizane@vni.lv</w:t>
        </w:r>
      </w:hyperlink>
      <w:r w:rsidR="008D2B03">
        <w:rPr>
          <w:sz w:val="20"/>
        </w:rPr>
        <w:t xml:space="preserve">  </w:t>
      </w:r>
    </w:p>
    <w:p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E48" w:rsidRDefault="00B54E48">
      <w:r>
        <w:separator/>
      </w:r>
    </w:p>
  </w:endnote>
  <w:endnote w:type="continuationSeparator" w:id="0">
    <w:p w:rsidR="00B54E48" w:rsidRDefault="00B5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22951"/>
      <w:docPartObj>
        <w:docPartGallery w:val="Page Numbers (Bottom of Page)"/>
        <w:docPartUnique/>
      </w:docPartObj>
    </w:sdtPr>
    <w:sdtEndPr/>
    <w:sdtContent>
      <w:p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513812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:rsidR="008D2B03" w:rsidRDefault="008D2B03" w:rsidP="008D2B03">
    <w:pPr>
      <w:pStyle w:val="Footer"/>
    </w:pPr>
    <w:r w:rsidRPr="005B06D4">
      <w:t>FMAtz_</w:t>
    </w:r>
    <w:r>
      <w:t>2711</w:t>
    </w:r>
    <w:r w:rsidRPr="005B06D4">
      <w:t>20_VSS_</w:t>
    </w:r>
    <w:r>
      <w:t>968</w:t>
    </w:r>
  </w:p>
  <w:p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84D" w:rsidRDefault="0015384D">
    <w:pPr>
      <w:pStyle w:val="Footer"/>
      <w:jc w:val="center"/>
    </w:pPr>
  </w:p>
  <w:p w:rsidR="008D2B03" w:rsidRDefault="008D2B03" w:rsidP="008D2B03">
    <w:pPr>
      <w:pStyle w:val="Footer"/>
    </w:pPr>
    <w:r w:rsidRPr="005B06D4">
      <w:t>FMAtz_</w:t>
    </w:r>
    <w:r>
      <w:t>2711</w:t>
    </w:r>
    <w:r w:rsidRPr="005B06D4">
      <w:t>20_VSS_</w:t>
    </w:r>
    <w:r>
      <w:t>968</w:t>
    </w:r>
  </w:p>
  <w:p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E48" w:rsidRDefault="00B54E48">
      <w:r>
        <w:separator/>
      </w:r>
    </w:p>
  </w:footnote>
  <w:footnote w:type="continuationSeparator" w:id="0">
    <w:p w:rsidR="00B54E48" w:rsidRDefault="00B54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2F0F1E84" wp14:editId="721281F2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812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4AFA"/>
    <w:rsid w:val="00765592"/>
    <w:rsid w:val="00786DAF"/>
    <w:rsid w:val="00792DE6"/>
    <w:rsid w:val="007A5BA9"/>
    <w:rsid w:val="007A73EC"/>
    <w:rsid w:val="007B32A0"/>
    <w:rsid w:val="007C5B7E"/>
    <w:rsid w:val="007D0A2C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D2B03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54E48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17A23"/>
    <w:rsid w:val="00D3049B"/>
    <w:rsid w:val="00D4070C"/>
    <w:rsid w:val="00D462B6"/>
    <w:rsid w:val="00D51CC7"/>
    <w:rsid w:val="00D57801"/>
    <w:rsid w:val="00D65123"/>
    <w:rsid w:val="00D70A7C"/>
    <w:rsid w:val="00D73652"/>
    <w:rsid w:val="00D74F6D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se.Pizane@vni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ndzela.apercoje@fm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67A57-92BF-4367-A48A-36420B79D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2423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noteikumu projektu "Grozījum</dc:subject>
  <dc:creator>Aperčoje A.</dc:creator>
  <dc:description>Sagatavots ALS E-aprites vidē.</dc:description>
  <cp:lastModifiedBy>Evija Avota</cp:lastModifiedBy>
  <cp:revision>2</cp:revision>
  <cp:lastPrinted>2007-06-25T10:49:00Z</cp:lastPrinted>
  <dcterms:created xsi:type="dcterms:W3CDTF">2020-12-03T09:46:00Z</dcterms:created>
  <dcterms:modified xsi:type="dcterms:W3CDTF">2020-12-03T09:46:00Z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